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/>
        <w:jc w:val="both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pStyle w:val="8"/>
        <w:widowControl/>
        <w:spacing w:beforeAutospacing="0" w:afterAutospacing="0" w:line="620" w:lineRule="exact"/>
        <w:jc w:val="center"/>
        <w:rPr>
          <w:rFonts w:hint="eastAsia" w:ascii="微软雅黑" w:hAnsi="微软雅黑" w:eastAsia="微软雅黑" w:cs="微软雅黑"/>
          <w:bCs/>
          <w:color w:val="auto"/>
          <w:sz w:val="44"/>
          <w:szCs w:val="44"/>
        </w:rPr>
      </w:pPr>
    </w:p>
    <w:p>
      <w:pPr>
        <w:pStyle w:val="8"/>
        <w:widowControl/>
        <w:spacing w:beforeAutospacing="0" w:afterAutospacing="0"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山东省社会信用条例摘录</w:t>
      </w:r>
    </w:p>
    <w:p>
      <w:pPr>
        <w:pStyle w:val="8"/>
        <w:widowControl/>
        <w:spacing w:beforeAutospacing="0" w:afterAutospacing="0" w:line="578" w:lineRule="exact"/>
        <w:jc w:val="center"/>
        <w:rPr>
          <w:rFonts w:ascii="Times New Roman" w:hAnsi="Times New Roman" w:eastAsia="微软雅黑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《山东省社会信用条例》（第120号）2020年7月24日山东省第十三届人民代表大会常务委员会第二十二次会议通过。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第三十条  对纳入严重失信主体名单的信用主体，有关部门和单位应当依照法律、行政法规和国家有关规定采取下列惩戒措施：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（一）限制或者禁止进入相关市场和相关行业；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（二）限制相关任职资格，取消评优评先资格或者撤销相关荣誉、称号；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（三）限制开展融资、授信等金融活动；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（四）限制参与由财政资金安排的基础设施建设和公共事业特许经营活动；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（五）限制参加政府采购、政府投资项目招标投标以及国有土地招标、拍卖、挂牌等公共资源交易活动；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（六）限制乘坐飞机、高等级列车和席次等；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（七）法律、行政法规规定的其他惩戒措施。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3123"/>
        </w:tabs>
        <w:bidi w:val="0"/>
        <w:jc w:val="left"/>
        <w:rPr>
          <w:vanish/>
          <w:sz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A2BE4C-A4FA-41E2-99D9-0721265CC6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50FF9D4-8106-4866-870F-A472CFAF1E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5B8BA9-9D7E-4C5F-8DAE-8BB2053AAD5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E961E3-70AA-4753-802A-0F17DAC9FD9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0E9D6AE7-2EE6-4FD3-87B3-176C47111D3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BE09A2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7580</Words>
  <Characters>7923</Characters>
  <Lines>59</Lines>
  <Paragraphs>16</Paragraphs>
  <TotalTime>124</TotalTime>
  <ScaleCrop>false</ScaleCrop>
  <LinksUpToDate>false</LinksUpToDate>
  <CharactersWithSpaces>8826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。</cp:lastModifiedBy>
  <cp:lastPrinted>2024-04-25T09:12:00Z</cp:lastPrinted>
  <dcterms:modified xsi:type="dcterms:W3CDTF">2024-05-06T07:37:20Z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</Properties>
</file>