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>
      <w:pPr>
        <w:rPr>
          <w:rFonts w:hint="eastAsia"/>
          <w:b/>
          <w:bCs/>
          <w:sz w:val="44"/>
          <w:szCs w:val="44"/>
        </w:rPr>
      </w:pPr>
      <w:r>
        <w:rPr>
          <w:rFonts w:hint="eastAsia"/>
        </w:rPr>
        <w:t xml:space="preserve">                             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44"/>
          <w:szCs w:val="44"/>
        </w:rPr>
        <w:t>报名回执表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山东省2020年度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“1+X”装配式建筑构件制作与安装职业技能等级证书师资培训班</w:t>
      </w:r>
      <w:r>
        <w:rPr>
          <w:rFonts w:hint="eastAsia" w:ascii="仿宋" w:hAnsi="仿宋" w:eastAsia="仿宋" w:cs="仿宋"/>
          <w:sz w:val="32"/>
          <w:szCs w:val="32"/>
        </w:rPr>
        <w:t>报名回执表</w:t>
      </w:r>
    </w:p>
    <w:tbl>
      <w:tblPr>
        <w:tblStyle w:val="4"/>
        <w:tblW w:w="0" w:type="auto"/>
        <w:tblInd w:w="-5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50"/>
        <w:gridCol w:w="1611"/>
        <w:gridCol w:w="1239"/>
        <w:gridCol w:w="891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报名单位</w:t>
            </w:r>
          </w:p>
        </w:tc>
        <w:tc>
          <w:tcPr>
            <w:tcW w:w="7988" w:type="dxa"/>
            <w:gridSpan w:val="7"/>
          </w:tcPr>
          <w:p>
            <w:pPr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姓名</w:t>
            </w:r>
          </w:p>
        </w:tc>
        <w:tc>
          <w:tcPr>
            <w:tcW w:w="1050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性别</w:t>
            </w:r>
          </w:p>
        </w:tc>
        <w:tc>
          <w:tcPr>
            <w:tcW w:w="1611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身份证号</w:t>
            </w:r>
          </w:p>
        </w:tc>
        <w:tc>
          <w:tcPr>
            <w:tcW w:w="1239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联系电话</w:t>
            </w:r>
          </w:p>
        </w:tc>
        <w:tc>
          <w:tcPr>
            <w:tcW w:w="891" w:type="dxa"/>
          </w:tcPr>
          <w:p>
            <w:pPr>
              <w:ind w:firstLine="210" w:firstLineChars="100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职务</w:t>
            </w:r>
          </w:p>
        </w:tc>
        <w:tc>
          <w:tcPr>
            <w:tcW w:w="1065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级别及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方向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邮箱</w:t>
            </w:r>
          </w:p>
        </w:tc>
        <w:tc>
          <w:tcPr>
            <w:tcW w:w="106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50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61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39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91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5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66" w:type="dxa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单间</w:t>
            </w:r>
            <w:r>
              <w:rPr>
                <w:rFonts w:asciiTheme="majorEastAsia" w:hAnsiTheme="majorEastAsia" w:eastAsiaTheme="majorEastAsia" w:cstheme="majorEastAsia"/>
                <w:sz w:val="24"/>
              </w:rPr>
              <w:sym w:font="Wingdings 2" w:char="00A3"/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标间□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restart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开票信息</w:t>
            </w: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抬头（务必准确）：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税号（务必准确）：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地址、电话（根据需要填写）: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5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6938" w:type="dxa"/>
            <w:gridSpan w:val="6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开户行、账户（根据需要填写）：</w:t>
            </w: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53" w:type="dxa"/>
            <w:gridSpan w:val="8"/>
          </w:tcPr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备注：请填写此表发邮件给协会邮箱: sjskjxh@jn.shandong.cn</w:t>
            </w:r>
          </w:p>
        </w:tc>
      </w:tr>
    </w:tbl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50CA2"/>
    <w:rsid w:val="092307F5"/>
    <w:rsid w:val="0AB15005"/>
    <w:rsid w:val="0D343353"/>
    <w:rsid w:val="16433CD9"/>
    <w:rsid w:val="18115CE4"/>
    <w:rsid w:val="1E9A4650"/>
    <w:rsid w:val="1FA6750B"/>
    <w:rsid w:val="208E6A99"/>
    <w:rsid w:val="244A44DC"/>
    <w:rsid w:val="24E73C93"/>
    <w:rsid w:val="26F75A3D"/>
    <w:rsid w:val="323537A9"/>
    <w:rsid w:val="335F36B0"/>
    <w:rsid w:val="35F3266A"/>
    <w:rsid w:val="37DC5CA3"/>
    <w:rsid w:val="3C8F346F"/>
    <w:rsid w:val="412610A5"/>
    <w:rsid w:val="439B45AA"/>
    <w:rsid w:val="46286F6B"/>
    <w:rsid w:val="4700023D"/>
    <w:rsid w:val="4D9F4D4C"/>
    <w:rsid w:val="58377871"/>
    <w:rsid w:val="58403CE6"/>
    <w:rsid w:val="5AE40B3A"/>
    <w:rsid w:val="5E89416D"/>
    <w:rsid w:val="63580249"/>
    <w:rsid w:val="64B94915"/>
    <w:rsid w:val="6E0F0072"/>
    <w:rsid w:val="6ECC27D7"/>
    <w:rsid w:val="719D49FC"/>
    <w:rsid w:val="79450CA2"/>
    <w:rsid w:val="7B12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2020-11-19T06:45:00Z</dcterms:created>
  <dc:creator>宋洪坤*韩尚代购</dc:creator>
  <cp:lastModifiedBy>administered</cp:lastModifiedBy>
  <dcterms:modified xsi:type="dcterms:W3CDTF">2020-11-20T09:11:11Z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