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val="0"/>
        <w:spacing w:before="0" w:beforeLines="150" w:line="240" w:lineRule="auto"/>
        <w:ind w:left="0" w:right="0" w:firstLine="0"/>
        <w:jc w:val="center"/>
        <w:textAlignment w:val="baseline"/>
        <w:rPr>
          <w:rFonts w:ascii="宋体" w:hAnsi="宋体" w:eastAsia="宋体" w:cs="宋体"/>
          <w:spacing w:val="16"/>
          <w:sz w:val="44"/>
          <w:szCs w:val="44"/>
          <w14:textOutline w14:w="6540" w14:cap="flat" w14:cmpd="sng">
            <w14:solidFill>
              <w14:srgbClr w14:val="000000"/>
            </w14:solidFill>
            <w14:prstDash w14:val="solid"/>
            <w14:miter w14:val="0"/>
          </w14:textOutline>
        </w:rPr>
      </w:pPr>
      <w:r>
        <w:rPr>
          <w:rFonts w:ascii="宋体" w:hAnsi="宋体" w:eastAsia="宋体" w:cs="宋体"/>
          <w:spacing w:val="16"/>
          <w:sz w:val="44"/>
          <w:szCs w:val="44"/>
          <w14:textOutline w14:w="6540" w14:cap="flat" w14:cmpd="sng">
            <w14:solidFill>
              <w14:srgbClr w14:val="000000"/>
            </w14:solidFill>
            <w14:prstDash w14:val="solid"/>
            <w14:miter w14:val="0"/>
          </w14:textOutline>
        </w:rPr>
        <w:t>关于征集</w:t>
      </w:r>
      <w:r>
        <w:rPr>
          <w:rFonts w:ascii="宋体" w:hAnsi="宋体" w:eastAsia="宋体" w:cs="宋体"/>
          <w:spacing w:val="87"/>
          <w:sz w:val="44"/>
          <w:szCs w:val="44"/>
        </w:rPr>
        <w:t xml:space="preserve"> </w:t>
      </w:r>
      <w:r>
        <w:rPr>
          <w:rFonts w:ascii="宋体" w:hAnsi="宋体" w:eastAsia="宋体" w:cs="宋体"/>
          <w:spacing w:val="16"/>
          <w:sz w:val="44"/>
          <w:szCs w:val="44"/>
          <w14:textOutline w14:w="6540" w14:cap="flat" w14:cmpd="sng">
            <w14:solidFill>
              <w14:srgbClr w14:val="000000"/>
            </w14:solidFill>
            <w14:prstDash w14:val="solid"/>
            <w14:miter w14:val="0"/>
          </w14:textOutline>
        </w:rPr>
        <w:t>2021年“中国好建筑”</w:t>
      </w:r>
    </w:p>
    <w:p>
      <w:pPr>
        <w:keepNext w:val="0"/>
        <w:keepLines w:val="0"/>
        <w:pageBreakBefore w:val="0"/>
        <w:widowControl/>
        <w:kinsoku/>
        <w:wordWrap/>
        <w:overflowPunct w:val="0"/>
        <w:topLinePunct w:val="0"/>
        <w:autoSpaceDE w:val="0"/>
        <w:autoSpaceDN w:val="0"/>
        <w:bidi w:val="0"/>
        <w:adjustRightInd w:val="0"/>
        <w:snapToGrid w:val="0"/>
        <w:spacing w:before="0" w:after="0" w:afterLines="150" w:line="240" w:lineRule="auto"/>
        <w:ind w:left="0" w:right="0" w:firstLine="0"/>
        <w:jc w:val="center"/>
        <w:textAlignment w:val="baseline"/>
        <w:rPr>
          <w:rFonts w:ascii="宋体" w:hAnsi="宋体" w:eastAsia="宋体" w:cs="宋体"/>
          <w:sz w:val="44"/>
          <w:szCs w:val="44"/>
        </w:rPr>
      </w:pPr>
      <w:r>
        <w:rPr>
          <w:rFonts w:hint="eastAsia" w:ascii="宋体" w:hAnsi="宋体" w:eastAsia="宋体" w:cs="宋体"/>
          <w:spacing w:val="16"/>
          <w:sz w:val="44"/>
          <w:szCs w:val="44"/>
          <w:lang w:eastAsia="zh-CN"/>
          <w14:textOutline w14:w="6540" w14:cap="flat" w14:cmpd="sng">
            <w14:solidFill>
              <w14:srgbClr w14:val="000000"/>
            </w14:solidFill>
            <w14:prstDash w14:val="solid"/>
            <w14:miter w14:val="0"/>
          </w14:textOutline>
        </w:rPr>
        <w:t>（</w:t>
      </w:r>
      <w:r>
        <w:rPr>
          <w:rFonts w:hint="eastAsia" w:ascii="宋体" w:hAnsi="宋体" w:eastAsia="宋体" w:cs="宋体"/>
          <w:spacing w:val="16"/>
          <w:sz w:val="44"/>
          <w:szCs w:val="44"/>
          <w:lang w:val="en-US" w:eastAsia="zh-CN"/>
          <w14:textOutline w14:w="6540" w14:cap="flat" w14:cmpd="sng">
            <w14:solidFill>
              <w14:srgbClr w14:val="000000"/>
            </w14:solidFill>
            <w14:prstDash w14:val="solid"/>
            <w14:miter w14:val="0"/>
          </w14:textOutline>
        </w:rPr>
        <w:t>山东区域</w:t>
      </w:r>
      <w:r>
        <w:rPr>
          <w:rFonts w:hint="eastAsia" w:ascii="宋体" w:hAnsi="宋体" w:eastAsia="宋体" w:cs="宋体"/>
          <w:spacing w:val="16"/>
          <w:sz w:val="44"/>
          <w:szCs w:val="44"/>
          <w:lang w:eastAsia="zh-CN"/>
          <w14:textOutline w14:w="6540" w14:cap="flat" w14:cmpd="sng">
            <w14:solidFill>
              <w14:srgbClr w14:val="000000"/>
            </w14:solidFill>
            <w14:prstDash w14:val="solid"/>
            <w14:miter w14:val="0"/>
          </w14:textOutline>
        </w:rPr>
        <w:t>）</w:t>
      </w:r>
      <w:r>
        <w:rPr>
          <w:rFonts w:ascii="宋体" w:hAnsi="宋体" w:eastAsia="宋体" w:cs="宋体"/>
          <w:spacing w:val="3"/>
          <w:sz w:val="44"/>
          <w:szCs w:val="44"/>
          <w14:textOutline w14:w="6540" w14:cap="flat" w14:cmpd="sng">
            <w14:solidFill>
              <w14:srgbClr w14:val="000000"/>
            </w14:solidFill>
            <w14:prstDash w14:val="solid"/>
            <w14:miter w14:val="0"/>
          </w14:textOutline>
        </w:rPr>
        <w:t>优秀实践案例的通知</w:t>
      </w:r>
    </w:p>
    <w:p>
      <w:pPr>
        <w:keepNext w:val="0"/>
        <w:keepLines w:val="0"/>
        <w:pageBreakBefore w:val="0"/>
        <w:widowControl/>
        <w:kinsoku/>
        <w:wordWrap/>
        <w:overflowPunct w:val="0"/>
        <w:topLinePunct w:val="0"/>
        <w:autoSpaceDE w:val="0"/>
        <w:autoSpaceDN w:val="0"/>
        <w:bidi w:val="0"/>
        <w:adjustRightInd w:val="0"/>
        <w:snapToGrid w:val="0"/>
        <w:spacing w:line="25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before="85" w:line="360" w:lineRule="auto"/>
        <w:textAlignment w:val="baseline"/>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val="en-US" w:eastAsia="zh-CN"/>
        </w:rPr>
        <w:t>各会员单位:</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“中国好建筑"是由国家发展改革委员会、住房城乡建设部</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中国建筑节能协会构建的公益性平台。该平台已经运行多年，受到行业内各方的关注，吸引大批建筑业主参与，推出了许多先进企业和优秀建筑案例，对推进建筑领域节能减排起到了积极的引领作用。</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目前，在国家实现“碳达峰碳中和”目标的大背景下，各方正在积极行动。为了更好的依托社会组织，构建以市场为导向、企业为主体、行业为支撑、社会公众广泛参与的建筑能效</w:t>
      </w:r>
      <w:r>
        <w:rPr>
          <w:rFonts w:hint="eastAsia" w:ascii="仿宋" w:hAnsi="仿宋" w:eastAsia="仿宋" w:cs="仿宋"/>
          <w:spacing w:val="11"/>
          <w:sz w:val="32"/>
          <w:szCs w:val="32"/>
          <w:lang w:val="en-US" w:eastAsia="zh-CN"/>
        </w:rPr>
        <w:t>可</w:t>
      </w:r>
      <w:r>
        <w:rPr>
          <w:rFonts w:hint="eastAsia" w:ascii="仿宋" w:hAnsi="仿宋" w:eastAsia="仿宋" w:cs="仿宋"/>
          <w:spacing w:val="11"/>
          <w:sz w:val="32"/>
          <w:szCs w:val="32"/>
        </w:rPr>
        <w:t>持续提升的创新机制，推动我省“中国好建筑”，推进我省 绿色、健康、智慧建筑事业持续发展，根据中国建筑节能协会《关于开展“中国好建筑”优秀实践案例征集的通知》，我会与中国建筑节能协会商定，在“中国好建筑”行动中开展合作，并由我会全权负责</w:t>
      </w:r>
      <w:r>
        <w:rPr>
          <w:rFonts w:hint="eastAsia" w:ascii="仿宋" w:hAnsi="仿宋" w:eastAsia="仿宋" w:cs="仿宋"/>
          <w:spacing w:val="11"/>
          <w:sz w:val="32"/>
          <w:szCs w:val="32"/>
          <w:lang w:val="en-US" w:eastAsia="zh-CN"/>
        </w:rPr>
        <w:t>山东</w:t>
      </w:r>
      <w:r>
        <w:rPr>
          <w:rFonts w:hint="eastAsia" w:ascii="仿宋" w:hAnsi="仿宋" w:eastAsia="仿宋" w:cs="仿宋"/>
          <w:spacing w:val="11"/>
          <w:sz w:val="32"/>
          <w:szCs w:val="32"/>
        </w:rPr>
        <w:t>区域“中国好建筑行动”项目实践案例 征集及推荐工作</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rPr>
        <w:t>现就本会征集“中国好建筑”优秀实践案例有关事宜通知如下∶</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一、征集时间</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2021年11月1日至2021年11月20日</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二、申报板块</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1、既有能效提升建筑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2、绿色建筑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3、健康建筑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4、智慧建筑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5、被动式超低能耗或近零能耗建筑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6、老旧小区改造能效提升建筑</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三、申报流程</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84" w:firstLineChars="200"/>
        <w:textAlignment w:val="baseline"/>
        <w:rPr>
          <w:rFonts w:hint="eastAsia" w:ascii="仿宋" w:hAnsi="仿宋" w:eastAsia="仿宋" w:cs="仿宋"/>
          <w:sz w:val="32"/>
          <w:szCs w:val="32"/>
        </w:rPr>
      </w:pPr>
      <w:r>
        <w:rPr>
          <w:rFonts w:hint="eastAsia" w:ascii="仿宋" w:hAnsi="仿宋" w:eastAsia="仿宋" w:cs="仿宋"/>
          <w:spacing w:val="11"/>
          <w:sz w:val="32"/>
          <w:szCs w:val="32"/>
        </w:rPr>
        <w:t>1、提出申请。</w:t>
      </w:r>
      <w:r>
        <w:rPr>
          <w:rFonts w:hint="eastAsia" w:ascii="仿宋" w:hAnsi="仿宋" w:eastAsia="仿宋" w:cs="仿宋"/>
          <w:spacing w:val="-5"/>
          <w:sz w:val="32"/>
          <w:szCs w:val="32"/>
        </w:rPr>
        <w:t>申报单位可通过行业协会、专家推荐、</w:t>
      </w:r>
      <w:r>
        <w:rPr>
          <w:rFonts w:hint="eastAsia" w:ascii="仿宋" w:hAnsi="仿宋" w:eastAsia="仿宋" w:cs="仿宋"/>
          <w:spacing w:val="-3"/>
          <w:sz w:val="32"/>
          <w:szCs w:val="32"/>
        </w:rPr>
        <w:t>企业自荐等方式申报。申报单位根据申报项目自行选择板块</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rPr>
        <w:t>填写相应信息征集表，保证所提交材料真实可靠、数据准确、</w:t>
      </w:r>
      <w:r>
        <w:rPr>
          <w:rFonts w:hint="eastAsia" w:ascii="仿宋" w:hAnsi="仿宋" w:eastAsia="仿宋" w:cs="仿宋"/>
          <w:spacing w:val="-5"/>
          <w:sz w:val="32"/>
          <w:szCs w:val="32"/>
        </w:rPr>
        <w:t>内容详实。活动全过程不收取任何费用。</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1133"/>
        <w:textAlignment w:val="baseline"/>
        <w:rPr>
          <w:rFonts w:hint="eastAsia" w:ascii="仿宋" w:hAnsi="仿宋" w:eastAsia="仿宋" w:cs="仿宋"/>
          <w:sz w:val="32"/>
          <w:szCs w:val="32"/>
        </w:rPr>
      </w:pPr>
      <w:r>
        <w:rPr>
          <w:rFonts w:hint="eastAsia" w:ascii="仿宋" w:hAnsi="仿宋" w:eastAsia="仿宋" w:cs="仿宋"/>
          <w:spacing w:val="13"/>
          <w:w w:val="101"/>
          <w:sz w:val="32"/>
          <w:szCs w:val="32"/>
        </w:rPr>
        <w:t>2、组织评审。本会完成</w:t>
      </w:r>
      <w:r>
        <w:rPr>
          <w:rFonts w:hint="eastAsia" w:ascii="仿宋" w:hAnsi="仿宋" w:eastAsia="仿宋" w:cs="仿宋"/>
          <w:spacing w:val="13"/>
          <w:w w:val="101"/>
          <w:sz w:val="32"/>
          <w:szCs w:val="32"/>
          <w:lang w:eastAsia="zh-CN"/>
        </w:rPr>
        <w:t>山东</w:t>
      </w:r>
      <w:r>
        <w:rPr>
          <w:rFonts w:hint="eastAsia" w:ascii="仿宋" w:hAnsi="仿宋" w:eastAsia="仿宋" w:cs="仿宋"/>
          <w:spacing w:val="13"/>
          <w:w w:val="101"/>
          <w:sz w:val="32"/>
          <w:szCs w:val="32"/>
        </w:rPr>
        <w:t>省“中国好建筑”优秀实践</w:t>
      </w:r>
      <w:r>
        <w:rPr>
          <w:rFonts w:hint="eastAsia" w:ascii="仿宋" w:hAnsi="仿宋" w:eastAsia="仿宋" w:cs="仿宋"/>
          <w:spacing w:val="6"/>
          <w:sz w:val="32"/>
          <w:szCs w:val="32"/>
        </w:rPr>
        <w:t>案例征集和形审后，组织行业专家对实践案例进行识别、筛选</w:t>
      </w:r>
      <w:r>
        <w:rPr>
          <w:rFonts w:hint="eastAsia" w:ascii="仿宋" w:hAnsi="仿宋" w:eastAsia="仿宋" w:cs="仿宋"/>
          <w:spacing w:val="6"/>
          <w:sz w:val="32"/>
          <w:szCs w:val="32"/>
          <w:lang w:eastAsia="zh-CN"/>
        </w:rPr>
        <w:t>、</w:t>
      </w:r>
      <w:r>
        <w:rPr>
          <w:rFonts w:hint="eastAsia" w:ascii="仿宋" w:hAnsi="仿宋" w:eastAsia="仿宋" w:cs="仿宋"/>
          <w:spacing w:val="-4"/>
          <w:sz w:val="32"/>
          <w:szCs w:val="32"/>
        </w:rPr>
        <w:t>评审。</w:t>
      </w:r>
    </w:p>
    <w:p>
      <w:pPr>
        <w:keepNext w:val="0"/>
        <w:keepLines w:val="0"/>
        <w:pageBreakBefore w:val="0"/>
        <w:widowControl/>
        <w:kinsoku/>
        <w:wordWrap/>
        <w:overflowPunct w:val="0"/>
        <w:topLinePunct w:val="0"/>
        <w:autoSpaceDE w:val="0"/>
        <w:autoSpaceDN w:val="0"/>
        <w:bidi w:val="0"/>
        <w:adjustRightInd w:val="0"/>
        <w:snapToGrid w:val="0"/>
        <w:spacing w:before="85" w:line="360" w:lineRule="auto"/>
        <w:ind w:firstLine="628" w:firstLineChars="200"/>
        <w:textAlignment w:val="baseline"/>
        <w:rPr>
          <w:rFonts w:hint="eastAsia" w:ascii="仿宋" w:hAnsi="仿宋" w:eastAsia="仿宋" w:cs="仿宋"/>
          <w:spacing w:val="-3"/>
          <w:sz w:val="32"/>
          <w:szCs w:val="32"/>
        </w:rPr>
      </w:pPr>
      <w:r>
        <w:rPr>
          <w:rFonts w:hint="eastAsia" w:ascii="仿宋" w:hAnsi="仿宋" w:eastAsia="仿宋" w:cs="仿宋"/>
          <w:spacing w:val="-3"/>
          <w:sz w:val="32"/>
          <w:szCs w:val="32"/>
        </w:rPr>
        <w:t>3、公示推荐。在</w:t>
      </w:r>
      <w:r>
        <w:rPr>
          <w:rFonts w:hint="eastAsia" w:ascii="仿宋" w:hAnsi="仿宋" w:eastAsia="仿宋" w:cs="仿宋"/>
          <w:spacing w:val="-3"/>
          <w:sz w:val="32"/>
          <w:szCs w:val="32"/>
          <w:lang w:eastAsia="zh-CN"/>
        </w:rPr>
        <w:t>山东</w:t>
      </w:r>
      <w:r>
        <w:rPr>
          <w:rFonts w:hint="eastAsia" w:ascii="仿宋" w:hAnsi="仿宋" w:eastAsia="仿宋" w:cs="仿宋"/>
          <w:spacing w:val="-3"/>
          <w:sz w:val="32"/>
          <w:szCs w:val="32"/>
        </w:rPr>
        <w:t>省建设科技</w:t>
      </w:r>
      <w:r>
        <w:rPr>
          <w:rFonts w:hint="eastAsia" w:ascii="仿宋" w:hAnsi="仿宋" w:eastAsia="仿宋" w:cs="仿宋"/>
          <w:spacing w:val="-3"/>
          <w:sz w:val="32"/>
          <w:szCs w:val="32"/>
          <w:lang w:val="en-US" w:eastAsia="zh-CN"/>
        </w:rPr>
        <w:t>与教育</w:t>
      </w:r>
      <w:r>
        <w:rPr>
          <w:rFonts w:hint="eastAsia" w:ascii="仿宋" w:hAnsi="仿宋" w:eastAsia="仿宋" w:cs="仿宋"/>
          <w:spacing w:val="-3"/>
          <w:sz w:val="32"/>
          <w:szCs w:val="32"/>
        </w:rPr>
        <w:t>协会网站、</w:t>
      </w:r>
      <w:r>
        <w:rPr>
          <w:rFonts w:hint="eastAsia" w:ascii="仿宋" w:hAnsi="仿宋" w:eastAsia="仿宋" w:cs="仿宋"/>
          <w:spacing w:val="-3"/>
          <w:sz w:val="32"/>
          <w:szCs w:val="32"/>
          <w:lang w:eastAsia="zh-CN"/>
        </w:rPr>
        <w:t>山东</w:t>
      </w:r>
      <w:r>
        <w:rPr>
          <w:rFonts w:hint="eastAsia" w:ascii="仿宋" w:hAnsi="仿宋" w:eastAsia="仿宋" w:cs="仿宋"/>
          <w:spacing w:val="-3"/>
          <w:sz w:val="32"/>
          <w:szCs w:val="32"/>
        </w:rPr>
        <w:t>省建设科技</w:t>
      </w:r>
      <w:r>
        <w:rPr>
          <w:rFonts w:hint="eastAsia" w:ascii="仿宋" w:hAnsi="仿宋" w:eastAsia="仿宋" w:cs="仿宋"/>
          <w:spacing w:val="-3"/>
          <w:sz w:val="32"/>
          <w:szCs w:val="32"/>
          <w:lang w:val="en-US" w:eastAsia="zh-CN"/>
        </w:rPr>
        <w:t>与教育</w:t>
      </w:r>
      <w:r>
        <w:rPr>
          <w:rFonts w:hint="eastAsia" w:ascii="仿宋" w:hAnsi="仿宋" w:eastAsia="仿宋" w:cs="仿宋"/>
          <w:spacing w:val="-3"/>
          <w:sz w:val="32"/>
          <w:szCs w:val="32"/>
        </w:rPr>
        <w:t>协会微信公众平台等公示推荐名单。符合条件的实践案例</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rPr>
        <w:t>推荐到中国建筑节能协会纳入“中国好建筑”平台发布。</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四、申报材料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1、中国好建筑项目信息表</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2、申报项目所申请板块对应《建筑评价表》</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3、电报项目展示 PPT</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五、联系方式</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联系人∶</w:t>
      </w:r>
      <w:r>
        <w:rPr>
          <w:rFonts w:hint="eastAsia" w:ascii="仿宋" w:hAnsi="仿宋" w:eastAsia="仿宋" w:cs="仿宋"/>
          <w:spacing w:val="14"/>
          <w:w w:val="102"/>
          <w:sz w:val="32"/>
          <w:szCs w:val="32"/>
          <w:lang w:val="en-US" w:eastAsia="zh-CN"/>
        </w:rPr>
        <w:t>吕双双</w:t>
      </w:r>
      <w:r>
        <w:rPr>
          <w:rFonts w:hint="eastAsia" w:ascii="仿宋" w:hAnsi="仿宋" w:eastAsia="仿宋" w:cs="仿宋"/>
          <w:spacing w:val="14"/>
          <w:w w:val="102"/>
          <w:sz w:val="32"/>
          <w:szCs w:val="32"/>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 xml:space="preserve">电话∶ </w:t>
      </w:r>
      <w:r>
        <w:rPr>
          <w:rFonts w:hint="eastAsia" w:ascii="仿宋" w:hAnsi="仿宋" w:eastAsia="仿宋" w:cs="仿宋"/>
          <w:spacing w:val="14"/>
          <w:w w:val="102"/>
          <w:sz w:val="32"/>
          <w:szCs w:val="32"/>
          <w:lang w:val="en-US" w:eastAsia="zh-CN"/>
        </w:rPr>
        <w:t>0531-87081285</w:t>
      </w:r>
      <w:r>
        <w:rPr>
          <w:rFonts w:hint="eastAsia" w:ascii="仿宋" w:hAnsi="仿宋" w:eastAsia="仿宋" w:cs="仿宋"/>
          <w:spacing w:val="14"/>
          <w:w w:val="102"/>
          <w:sz w:val="32"/>
          <w:szCs w:val="32"/>
        </w:rPr>
        <w:t xml:space="preserve"> </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邮箱∶ sjskjxhbgs@</w:t>
      </w:r>
      <w:r>
        <w:rPr>
          <w:rFonts w:hint="eastAsia" w:ascii="仿宋" w:hAnsi="仿宋" w:eastAsia="仿宋" w:cs="仿宋"/>
          <w:spacing w:val="14"/>
          <w:w w:val="102"/>
          <w:sz w:val="32"/>
          <w:szCs w:val="32"/>
          <w:lang w:val="en-US" w:eastAsia="zh-CN"/>
        </w:rPr>
        <w:t>jn.shandong</w:t>
      </w:r>
      <w:r>
        <w:rPr>
          <w:rFonts w:hint="eastAsia" w:ascii="仿宋" w:hAnsi="仿宋" w:eastAsia="仿宋" w:cs="仿宋"/>
          <w:spacing w:val="14"/>
          <w:w w:val="102"/>
          <w:sz w:val="32"/>
          <w:szCs w:val="32"/>
        </w:rPr>
        <w:t xml:space="preserve">.com      </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rPr>
      </w:pPr>
      <w:r>
        <w:rPr>
          <w:rFonts w:hint="eastAsia" w:ascii="仿宋" w:hAnsi="仿宋" w:eastAsia="仿宋" w:cs="仿宋"/>
          <w:spacing w:val="14"/>
          <w:w w:val="102"/>
          <w:sz w:val="32"/>
          <w:szCs w:val="32"/>
        </w:rPr>
        <w:t xml:space="preserve">地址∶ </w:t>
      </w:r>
      <w:r>
        <w:rPr>
          <w:rFonts w:hint="eastAsia" w:ascii="仿宋" w:hAnsi="仿宋" w:eastAsia="仿宋" w:cs="仿宋"/>
          <w:spacing w:val="14"/>
          <w:w w:val="102"/>
          <w:sz w:val="32"/>
          <w:szCs w:val="32"/>
          <w:lang w:val="en-US" w:eastAsia="zh-CN"/>
        </w:rPr>
        <w:t>济南市市中区经六小纬四路46-1号620室</w:t>
      </w:r>
    </w:p>
    <w:p>
      <w:pPr>
        <w:keepNext w:val="0"/>
        <w:keepLines w:val="0"/>
        <w:pageBreakBefore w:val="0"/>
        <w:widowControl/>
        <w:kinsoku/>
        <w:wordWrap/>
        <w:overflowPunct w:val="0"/>
        <w:topLinePunct w:val="0"/>
        <w:autoSpaceDE w:val="0"/>
        <w:autoSpaceDN w:val="0"/>
        <w:bidi w:val="0"/>
        <w:adjustRightInd w:val="0"/>
        <w:snapToGrid w:val="0"/>
        <w:spacing w:before="2" w:line="360" w:lineRule="auto"/>
        <w:ind w:left="473" w:right="333" w:firstLine="580"/>
        <w:textAlignment w:val="baseline"/>
        <w:rPr>
          <w:rFonts w:hint="eastAsia" w:ascii="仿宋" w:hAnsi="仿宋" w:eastAsia="仿宋" w:cs="仿宋"/>
          <w:spacing w:val="14"/>
          <w:w w:val="102"/>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92"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附 件 ∶</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1、中国好建筑项目信息表</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2、中国好建筑既有建筑能效提升评价细则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3、中国好建筑智慧建筑评价细则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4、中国好建筑健康建筑评价细则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5、中国好建筑超低能耗或近零耗建筑评价细则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420" w:firstLineChars="200"/>
        <w:textAlignment w:val="baseline"/>
        <w:rPr>
          <w:rFonts w:hint="eastAsia" w:ascii="仿宋" w:hAnsi="仿宋" w:eastAsia="仿宋" w:cs="仿宋"/>
          <w:spacing w:val="14"/>
          <w:w w:val="102"/>
          <w:sz w:val="32"/>
          <w:szCs w:val="32"/>
          <w:lang w:val="en-US" w:eastAsia="zh-CN"/>
        </w:rPr>
      </w:pPr>
      <w:r>
        <w:rPr>
          <w:rFonts w:hint="eastAsia" w:ascii="Arial" w:eastAsia="宋体"/>
          <w:sz w:val="21"/>
          <w:lang w:eastAsia="zh-CN"/>
        </w:rPr>
        <w:drawing>
          <wp:anchor distT="0" distB="0" distL="114300" distR="114300" simplePos="0" relativeHeight="251659264" behindDoc="0" locked="0" layoutInCell="1" allowOverlap="1">
            <wp:simplePos x="0" y="0"/>
            <wp:positionH relativeFrom="column">
              <wp:posOffset>3413760</wp:posOffset>
            </wp:positionH>
            <wp:positionV relativeFrom="paragraph">
              <wp:posOffset>37465</wp:posOffset>
            </wp:positionV>
            <wp:extent cx="1933575" cy="1885950"/>
            <wp:effectExtent l="0" t="0" r="0" b="0"/>
            <wp:wrapNone/>
            <wp:docPr id="1" name="图片 1" descr="协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协会电子章"/>
                    <pic:cNvPicPr>
                      <a:picLocks noChangeAspect="1"/>
                    </pic:cNvPicPr>
                  </pic:nvPicPr>
                  <pic:blipFill>
                    <a:blip r:embed="rId9"/>
                    <a:stretch>
                      <a:fillRect/>
                    </a:stretch>
                  </pic:blipFill>
                  <pic:spPr>
                    <a:xfrm>
                      <a:off x="0" y="0"/>
                      <a:ext cx="1933575" cy="1885950"/>
                    </a:xfrm>
                    <a:prstGeom prst="rect">
                      <a:avLst/>
                    </a:prstGeom>
                  </pic:spPr>
                </pic:pic>
              </a:graphicData>
            </a:graphic>
          </wp:anchor>
        </w:drawing>
      </w:r>
      <w:r>
        <w:rPr>
          <w:rFonts w:hint="eastAsia" w:ascii="仿宋" w:hAnsi="仿宋" w:eastAsia="仿宋" w:cs="仿宋"/>
          <w:spacing w:val="14"/>
          <w:w w:val="102"/>
          <w:sz w:val="32"/>
          <w:szCs w:val="32"/>
          <w:lang w:val="en-US" w:eastAsia="zh-CN"/>
        </w:rPr>
        <w:t>6、中国好建筑老旧小区改造能效提升评价细则</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jc w:val="right"/>
        <w:textAlignment w:val="baseline"/>
        <w:rPr>
          <w:rFonts w:hint="eastAsia" w:ascii="仿宋" w:hAnsi="仿宋" w:eastAsia="仿宋" w:cs="仿宋"/>
          <w:spacing w:val="14"/>
          <w:w w:val="102"/>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jc w:val="right"/>
        <w:textAlignment w:val="baseline"/>
        <w:rPr>
          <w:rFonts w:hint="default" w:ascii="仿宋" w:hAnsi="仿宋" w:eastAsia="仿宋" w:cs="仿宋"/>
          <w:spacing w:val="14"/>
          <w:w w:val="102"/>
          <w:sz w:val="32"/>
          <w:szCs w:val="32"/>
          <w:lang w:val="en-US" w:eastAsia="zh-CN"/>
        </w:rPr>
      </w:pPr>
      <w:r>
        <w:rPr>
          <w:rFonts w:hint="eastAsia" w:ascii="仿宋" w:hAnsi="仿宋" w:eastAsia="仿宋" w:cs="仿宋"/>
          <w:spacing w:val="14"/>
          <w:w w:val="102"/>
          <w:sz w:val="32"/>
          <w:szCs w:val="32"/>
          <w:lang w:val="en-US" w:eastAsia="zh-CN"/>
        </w:rPr>
        <w:t>2021年11月12日</w:t>
      </w: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hint="eastAsia" w:ascii="Arial" w:eastAsia="宋体"/>
          <w:sz w:val="21"/>
          <w:lang w:eastAsia="zh-CN"/>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sz w:val="21"/>
        </w:rPr>
      </w:pPr>
    </w:p>
    <w:p>
      <w:pPr>
        <w:keepNext w:val="0"/>
        <w:keepLines w:val="0"/>
        <w:pageBreakBefore w:val="0"/>
        <w:widowControl/>
        <w:kinsoku/>
        <w:wordWrap/>
        <w:overflowPunct w:val="0"/>
        <w:topLinePunct w:val="0"/>
        <w:autoSpaceDE w:val="0"/>
        <w:autoSpaceDN w:val="0"/>
        <w:bidi w:val="0"/>
        <w:adjustRightInd w:val="0"/>
        <w:snapToGrid w:val="0"/>
        <w:spacing w:line="244" w:lineRule="auto"/>
        <w:textAlignment w:val="baseline"/>
        <w:rPr>
          <w:rFonts w:ascii="Arial"/>
          <w:b/>
          <w:bCs/>
          <w:sz w:val="21"/>
        </w:rPr>
      </w:pPr>
    </w:p>
    <w:p>
      <w:pPr>
        <w:keepNext w:val="0"/>
        <w:keepLines w:val="0"/>
        <w:pageBreakBefore w:val="0"/>
        <w:widowControl/>
        <w:kinsoku/>
        <w:wordWrap/>
        <w:overflowPunct w:val="0"/>
        <w:topLinePunct w:val="0"/>
        <w:autoSpaceDE w:val="0"/>
        <w:autoSpaceDN w:val="0"/>
        <w:bidi w:val="0"/>
        <w:adjustRightInd w:val="0"/>
        <w:snapToGrid w:val="0"/>
        <w:spacing w:before="101" w:line="210" w:lineRule="auto"/>
        <w:ind w:firstLine="793"/>
        <w:textAlignment w:val="baseline"/>
        <w:rPr>
          <w:rFonts w:hint="eastAsia" w:ascii="仿宋" w:hAnsi="仿宋" w:eastAsia="仿宋" w:cs="仿宋"/>
          <w:b/>
          <w:bCs/>
          <w:spacing w:val="3"/>
          <w:sz w:val="36"/>
          <w:szCs w:val="36"/>
          <w:lang w:val="en-US" w:eastAsia="zh-CN"/>
        </w:rPr>
      </w:pPr>
      <w:r>
        <w:rPr>
          <w:rFonts w:hint="eastAsia" w:ascii="仿宋" w:hAnsi="仿宋" w:eastAsia="仿宋" w:cs="仿宋"/>
          <w:b/>
          <w:bCs/>
          <w:spacing w:val="3"/>
          <w:sz w:val="36"/>
          <w:szCs w:val="36"/>
          <w:lang w:val="en-US" w:eastAsia="zh-CN"/>
        </w:rPr>
        <w:t xml:space="preserve">附件1： </w:t>
      </w:r>
      <w:r>
        <w:rPr>
          <w:rFonts w:hint="eastAsia" w:ascii="仿宋" w:hAnsi="仿宋" w:eastAsia="仿宋" w:cs="仿宋"/>
          <w:spacing w:val="3"/>
          <w:sz w:val="36"/>
          <w:szCs w:val="36"/>
          <w:lang w:val="en-US" w:eastAsia="zh-CN"/>
        </w:rPr>
        <w:t xml:space="preserve"> </w:t>
      </w:r>
      <w:r>
        <w:rPr>
          <w:rFonts w:ascii="等线" w:hAnsi="等线" w:eastAsia="等线" w:cs="等线"/>
          <w:spacing w:val="4"/>
          <w:w w:val="101"/>
          <w:sz w:val="32"/>
          <w:szCs w:val="32"/>
        </w:rPr>
        <w:t xml:space="preserve">   </w:t>
      </w:r>
      <w:r>
        <w:rPr>
          <w:rFonts w:hint="eastAsia" w:ascii="仿宋" w:hAnsi="仿宋" w:eastAsia="仿宋" w:cs="仿宋"/>
          <w:b/>
          <w:bCs/>
          <w:spacing w:val="3"/>
          <w:sz w:val="36"/>
          <w:szCs w:val="36"/>
          <w:lang w:val="en-US" w:eastAsia="zh-CN"/>
        </w:rPr>
        <w:t xml:space="preserve"> 中国好建筑项目信息表</w:t>
      </w:r>
    </w:p>
    <w:p>
      <w:pPr>
        <w:keepNext w:val="0"/>
        <w:keepLines w:val="0"/>
        <w:pageBreakBefore w:val="0"/>
        <w:widowControl/>
        <w:kinsoku/>
        <w:wordWrap/>
        <w:overflowPunct w:val="0"/>
        <w:topLinePunct w:val="0"/>
        <w:autoSpaceDE w:val="0"/>
        <w:autoSpaceDN w:val="0"/>
        <w:bidi w:val="0"/>
        <w:adjustRightInd w:val="0"/>
        <w:snapToGrid w:val="0"/>
        <w:spacing w:before="101" w:line="210" w:lineRule="auto"/>
        <w:ind w:firstLine="793"/>
        <w:textAlignment w:val="baseline"/>
        <w:rPr>
          <w:rFonts w:hint="eastAsia" w:ascii="仿宋" w:hAnsi="仿宋" w:eastAsia="仿宋" w:cs="仿宋"/>
          <w:b/>
          <w:bCs/>
          <w:spacing w:val="3"/>
          <w:sz w:val="36"/>
          <w:szCs w:val="36"/>
          <w:lang w:val="en-US" w:eastAsia="zh-CN"/>
        </w:rPr>
      </w:pPr>
    </w:p>
    <w:tbl>
      <w:tblPr>
        <w:tblStyle w:val="6"/>
        <w:tblW w:w="6890" w:type="dxa"/>
        <w:tblInd w:w="6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46"/>
        <w:gridCol w:w="1984"/>
        <w:gridCol w:w="1595"/>
        <w:gridCol w:w="18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75" w:line="219" w:lineRule="auto"/>
              <w:ind w:firstLine="28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9"/>
                <w:w w:val="103"/>
                <w:sz w:val="19"/>
                <w:szCs w:val="19"/>
              </w:rPr>
              <w:t>申报单位信息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05" w:line="219"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申报单位</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05" w:line="221" w:lineRule="auto"/>
              <w:ind w:firstLine="50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联系人</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5" w:line="221"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联系电话</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5" w:line="220" w:lineRule="auto"/>
              <w:ind w:firstLine="59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邮箱</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65" w:line="219" w:lineRule="auto"/>
              <w:ind w:firstLine="276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9"/>
                <w:w w:val="107"/>
                <w:sz w:val="19"/>
                <w:szCs w:val="19"/>
              </w:rPr>
              <w:t>建筑单位信息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5"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设计单位</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5" w:line="220"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施工单位</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65" w:line="219"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改造单位</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65" w:line="220"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运营单位</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4"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46" w:line="219" w:lineRule="auto"/>
              <w:ind w:firstLine="22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项目主要完</w:t>
            </w:r>
          </w:p>
          <w:p>
            <w:pPr>
              <w:keepNext w:val="0"/>
              <w:keepLines w:val="0"/>
              <w:pageBreakBefore w:val="0"/>
              <w:widowControl/>
              <w:kinsoku/>
              <w:wordWrap/>
              <w:overflowPunct w:val="0"/>
              <w:topLinePunct w:val="0"/>
              <w:autoSpaceDE w:val="0"/>
              <w:autoSpaceDN w:val="0"/>
              <w:bidi w:val="0"/>
              <w:adjustRightInd w:val="0"/>
              <w:snapToGrid w:val="0"/>
              <w:spacing w:before="44" w:line="221" w:lineRule="auto"/>
              <w:ind w:firstLine="22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成人（前三</w:t>
            </w:r>
          </w:p>
          <w:p>
            <w:pPr>
              <w:keepNext w:val="0"/>
              <w:keepLines w:val="0"/>
              <w:pageBreakBefore w:val="0"/>
              <w:widowControl/>
              <w:kinsoku/>
              <w:wordWrap/>
              <w:overflowPunct w:val="0"/>
              <w:topLinePunct w:val="0"/>
              <w:autoSpaceDE w:val="0"/>
              <w:autoSpaceDN w:val="0"/>
              <w:bidi w:val="0"/>
              <w:adjustRightInd w:val="0"/>
              <w:snapToGrid w:val="0"/>
              <w:spacing w:before="32" w:line="221" w:lineRule="auto"/>
              <w:ind w:firstLine="51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位</w:t>
            </w:r>
            <w:r>
              <w:rPr>
                <w:rFonts w:hint="eastAsia" w:asciiTheme="minorEastAsia" w:hAnsiTheme="minorEastAsia" w:eastAsiaTheme="minorEastAsia" w:cstheme="minorEastAsia"/>
                <w:spacing w:val="20"/>
                <w:sz w:val="19"/>
                <w:szCs w:val="19"/>
              </w:rPr>
              <w:t xml:space="preserve"> </w:t>
            </w:r>
            <w:r>
              <w:rPr>
                <w:rFonts w:hint="eastAsia" w:asciiTheme="minorEastAsia" w:hAnsiTheme="minorEastAsia" w:eastAsiaTheme="minorEastAsia" w:cstheme="minorEastAsia"/>
                <w:spacing w:val="-4"/>
                <w:sz w:val="19"/>
                <w:szCs w:val="19"/>
              </w:rPr>
              <w:t>）</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56" w:line="219" w:lineRule="auto"/>
              <w:ind w:firstLine="280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9"/>
                <w:w w:val="103"/>
                <w:sz w:val="19"/>
                <w:szCs w:val="19"/>
              </w:rPr>
              <w:t>建筑基本信息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17"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建筑名称</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17" w:line="219"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建筑类型</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27"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占地面积</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27" w:line="219"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建筑年代</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57" w:line="219"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建筑层数</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57" w:line="219"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结构类型</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57"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建筑面积</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57" w:line="220" w:lineRule="auto"/>
              <w:ind w:firstLine="41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节能标准</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1446"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17" w:line="220" w:lineRule="auto"/>
              <w:ind w:firstLine="33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建筑地址</w:t>
            </w:r>
          </w:p>
        </w:tc>
        <w:tc>
          <w:tcPr>
            <w:tcW w:w="1984"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c>
          <w:tcPr>
            <w:tcW w:w="159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17" w:line="220" w:lineRule="auto"/>
              <w:ind w:firstLine="30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认证、奖项</w:t>
            </w:r>
          </w:p>
        </w:tc>
        <w:tc>
          <w:tcPr>
            <w:tcW w:w="1865" w:type="dxa"/>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157" w:line="219" w:lineRule="auto"/>
              <w:ind w:firstLine="2689"/>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参与板块（</w:t>
            </w:r>
            <w:r>
              <w:rPr>
                <w:rFonts w:hint="eastAsia" w:asciiTheme="minorEastAsia" w:hAnsiTheme="minorEastAsia" w:eastAsiaTheme="minorEastAsia" w:cstheme="minorEastAsia"/>
                <w:spacing w:val="23"/>
                <w:sz w:val="19"/>
                <w:szCs w:val="19"/>
              </w:rPr>
              <w:t xml:space="preserve"> </w:t>
            </w:r>
            <w:r>
              <w:rPr>
                <w:rFonts w:hint="eastAsia" w:asciiTheme="minorEastAsia" w:hAnsiTheme="minorEastAsia" w:eastAsiaTheme="minorEastAsia" w:cstheme="minorEastAsia"/>
                <w:spacing w:val="4"/>
                <w:sz w:val="19"/>
                <w:szCs w:val="19"/>
              </w:rPr>
              <w:t>√</w:t>
            </w:r>
            <w:r>
              <w:rPr>
                <w:rFonts w:hint="eastAsia" w:asciiTheme="minorEastAsia" w:hAnsiTheme="minorEastAsia" w:eastAsiaTheme="minorEastAsia" w:cstheme="minorEastAsia"/>
                <w:spacing w:val="-64"/>
                <w:sz w:val="19"/>
                <w:szCs w:val="19"/>
              </w:rPr>
              <w:t xml:space="preserve"> </w:t>
            </w:r>
            <w:r>
              <w:rPr>
                <w:rFonts w:hint="eastAsia" w:asciiTheme="minorEastAsia" w:hAnsiTheme="minorEastAsia" w:eastAsiaTheme="minorEastAsia" w:cstheme="minorEastAsia"/>
                <w:spacing w:val="4"/>
                <w:sz w:val="19"/>
                <w:szCs w:val="19"/>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3" w:hRule="atLeast"/>
        </w:trPr>
        <w:tc>
          <w:tcPr>
            <w:tcW w:w="6890" w:type="dxa"/>
            <w:gridSpan w:val="4"/>
            <w:tcBorders>
              <w:top w:val="single" w:color="000000" w:sz="2" w:space="0"/>
              <w:bottom w:val="single" w:color="000000" w:sz="2"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before="88" w:line="450" w:lineRule="exact"/>
              <w:ind w:firstLine="9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7"/>
                <w:position w:val="20"/>
                <w:sz w:val="19"/>
                <w:szCs w:val="19"/>
              </w:rPr>
              <w:t>能效提升</w:t>
            </w:r>
            <w:r>
              <w:rPr>
                <w:rFonts w:hint="eastAsia" w:asciiTheme="minorEastAsia" w:hAnsiTheme="minorEastAsia" w:eastAsiaTheme="minorEastAsia" w:cstheme="minorEastAsia"/>
                <w:spacing w:val="52"/>
                <w:position w:val="20"/>
                <w:sz w:val="19"/>
                <w:szCs w:val="19"/>
              </w:rPr>
              <w:t xml:space="preserve"> </w:t>
            </w:r>
            <w:r>
              <w:rPr>
                <w:rFonts w:hint="eastAsia" w:asciiTheme="minorEastAsia" w:hAnsiTheme="minorEastAsia" w:eastAsiaTheme="minorEastAsia" w:cstheme="minorEastAsia"/>
                <w:spacing w:val="17"/>
                <w:position w:val="20"/>
                <w:sz w:val="19"/>
                <w:szCs w:val="19"/>
              </w:rPr>
              <w:t>口绿色建筑</w:t>
            </w:r>
            <w:r>
              <w:rPr>
                <w:rFonts w:hint="eastAsia" w:asciiTheme="minorEastAsia" w:hAnsiTheme="minorEastAsia" w:eastAsiaTheme="minorEastAsia" w:cstheme="minorEastAsia"/>
                <w:spacing w:val="51"/>
                <w:position w:val="20"/>
                <w:sz w:val="19"/>
                <w:szCs w:val="19"/>
              </w:rPr>
              <w:t xml:space="preserve"> </w:t>
            </w:r>
            <w:r>
              <w:rPr>
                <w:rFonts w:hint="eastAsia" w:asciiTheme="minorEastAsia" w:hAnsiTheme="minorEastAsia" w:eastAsiaTheme="minorEastAsia" w:cstheme="minorEastAsia"/>
                <w:spacing w:val="17"/>
                <w:position w:val="20"/>
                <w:sz w:val="19"/>
                <w:szCs w:val="19"/>
              </w:rPr>
              <w:t>口</w:t>
            </w:r>
            <w:r>
              <w:rPr>
                <w:rFonts w:hint="eastAsia" w:asciiTheme="minorEastAsia" w:hAnsiTheme="minorEastAsia" w:eastAsiaTheme="minorEastAsia" w:cstheme="minorEastAsia"/>
                <w:spacing w:val="30"/>
                <w:position w:val="20"/>
                <w:sz w:val="19"/>
                <w:szCs w:val="19"/>
              </w:rPr>
              <w:t xml:space="preserve"> </w:t>
            </w:r>
            <w:r>
              <w:rPr>
                <w:rFonts w:hint="eastAsia" w:asciiTheme="minorEastAsia" w:hAnsiTheme="minorEastAsia" w:eastAsiaTheme="minorEastAsia" w:cstheme="minorEastAsia"/>
                <w:spacing w:val="17"/>
                <w:position w:val="20"/>
                <w:sz w:val="19"/>
                <w:szCs w:val="19"/>
              </w:rPr>
              <w:t>智慧运营</w:t>
            </w:r>
            <w:r>
              <w:rPr>
                <w:rFonts w:hint="eastAsia" w:asciiTheme="minorEastAsia" w:hAnsiTheme="minorEastAsia" w:eastAsiaTheme="minorEastAsia" w:cstheme="minorEastAsia"/>
                <w:spacing w:val="46"/>
                <w:position w:val="20"/>
                <w:sz w:val="19"/>
                <w:szCs w:val="19"/>
              </w:rPr>
              <w:t xml:space="preserve"> </w:t>
            </w:r>
            <w:r>
              <w:rPr>
                <w:rFonts w:hint="eastAsia" w:asciiTheme="minorEastAsia" w:hAnsiTheme="minorEastAsia" w:eastAsiaTheme="minorEastAsia" w:cstheme="minorEastAsia"/>
                <w:spacing w:val="17"/>
                <w:position w:val="20"/>
                <w:sz w:val="19"/>
                <w:szCs w:val="19"/>
              </w:rPr>
              <w:t>口健康舒适</w:t>
            </w:r>
            <w:r>
              <w:rPr>
                <w:rFonts w:hint="eastAsia" w:asciiTheme="minorEastAsia" w:hAnsiTheme="minorEastAsia" w:eastAsiaTheme="minorEastAsia" w:cstheme="minorEastAsia"/>
                <w:spacing w:val="51"/>
                <w:position w:val="20"/>
                <w:sz w:val="19"/>
                <w:szCs w:val="19"/>
              </w:rPr>
              <w:t xml:space="preserve"> </w:t>
            </w:r>
            <w:r>
              <w:rPr>
                <w:rFonts w:hint="eastAsia" w:asciiTheme="minorEastAsia" w:hAnsiTheme="minorEastAsia" w:eastAsiaTheme="minorEastAsia" w:cstheme="minorEastAsia"/>
                <w:spacing w:val="17"/>
                <w:position w:val="20"/>
                <w:sz w:val="19"/>
                <w:szCs w:val="19"/>
              </w:rPr>
              <w:t>口超低能耗或近零能耗</w:t>
            </w:r>
          </w:p>
          <w:p>
            <w:pPr>
              <w:keepNext w:val="0"/>
              <w:keepLines w:val="0"/>
              <w:pageBreakBefore w:val="0"/>
              <w:widowControl/>
              <w:kinsoku/>
              <w:wordWrap/>
              <w:overflowPunct w:val="0"/>
              <w:topLinePunct w:val="0"/>
              <w:autoSpaceDE w:val="0"/>
              <w:autoSpaceDN w:val="0"/>
              <w:bidi w:val="0"/>
              <w:adjustRightInd w:val="0"/>
              <w:snapToGrid w:val="0"/>
              <w:spacing w:line="220" w:lineRule="auto"/>
              <w:ind w:firstLine="80"/>
              <w:textAlignment w:val="baseline"/>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w:t>
            </w:r>
            <w:r>
              <w:rPr>
                <w:rFonts w:hint="eastAsia" w:asciiTheme="minorEastAsia" w:hAnsiTheme="minorEastAsia" w:eastAsiaTheme="minorEastAsia" w:cstheme="minorEastAsia"/>
                <w:spacing w:val="31"/>
                <w:sz w:val="19"/>
                <w:szCs w:val="19"/>
              </w:rPr>
              <w:t xml:space="preserve"> </w:t>
            </w:r>
            <w:r>
              <w:rPr>
                <w:rFonts w:hint="eastAsia" w:asciiTheme="minorEastAsia" w:hAnsiTheme="minorEastAsia" w:eastAsiaTheme="minorEastAsia" w:cstheme="minorEastAsia"/>
                <w:spacing w:val="-3"/>
                <w:sz w:val="19"/>
                <w:szCs w:val="19"/>
              </w:rPr>
              <w:t>其他</w:t>
            </w:r>
          </w:p>
          <w:p>
            <w:pPr>
              <w:keepNext w:val="0"/>
              <w:keepLines w:val="0"/>
              <w:pageBreakBefore w:val="0"/>
              <w:widowControl/>
              <w:kinsoku/>
              <w:wordWrap/>
              <w:overflowPunct w:val="0"/>
              <w:topLinePunct w:val="0"/>
              <w:autoSpaceDE w:val="0"/>
              <w:autoSpaceDN w:val="0"/>
              <w:bidi w:val="0"/>
              <w:adjustRightInd w:val="0"/>
              <w:snapToGrid w:val="0"/>
              <w:spacing w:before="175" w:line="428" w:lineRule="auto"/>
              <w:ind w:left="80"/>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注:1.能效提升板块:承诺5-10 年内提升能效 10%—20% 目标，需要提交建筑改   造前后至少各1年的连续能耗运行数据。                                      2.绿色建筑板块:参与项目至少为二星及以上的建筑，并需要提供相应的设计或运 行认证作为支撑。                                                          3.智慧运营板块:参与项目提供相应的智慧化方案、技术、产品等支撑材料。     4.健康舒适板块: 参与项目提供相应的方案、技术、产品等支撑材料，或第三方认 证机构的“认证证书”，并提供不少于3个月数据支撑。                        5.超低能耗或被动房板块: 参与项目提供相应的方案、技术、产品等支撑材料，或第三方认证机构的“认证证书"，并提供不少于6个月数据支撑。</w:t>
            </w:r>
          </w:p>
        </w:tc>
      </w:tr>
    </w:tbl>
    <w:p>
      <w:pPr>
        <w:keepNext w:val="0"/>
        <w:keepLines w:val="0"/>
        <w:pageBreakBefore w:val="0"/>
        <w:widowControl/>
        <w:kinsoku/>
        <w:wordWrap/>
        <w:overflowPunct w:val="0"/>
        <w:topLinePunct w:val="0"/>
        <w:autoSpaceDE w:val="0"/>
        <w:autoSpaceDN w:val="0"/>
        <w:bidi w:val="0"/>
        <w:adjustRightInd w:val="0"/>
        <w:snapToGrid w:val="0"/>
        <w:textAlignment w:val="baseline"/>
        <w:rPr>
          <w:rFonts w:hint="eastAsia" w:asciiTheme="minorEastAsia" w:hAnsiTheme="minorEastAsia" w:eastAsiaTheme="minorEastAsia" w:cstheme="minorEastAsia"/>
        </w:rPr>
        <w:sectPr>
          <w:footerReference r:id="rId5" w:type="default"/>
          <w:pgSz w:w="11910" w:h="16840"/>
          <w:pgMar w:top="1431" w:right="1786" w:bottom="1787" w:left="1786" w:header="0" w:footer="1701" w:gutter="0"/>
          <w:cols w:space="720" w:num="1"/>
        </w:sect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bookmarkStart w:id="0" w:name="_GoBack"/>
      <w:r>
        <w:rPr>
          <w:rFonts w:hint="eastAsia" w:ascii="仿宋" w:hAnsi="仿宋" w:eastAsia="仿宋" w:cs="仿宋"/>
          <w:b/>
          <w:bCs/>
          <w:spacing w:val="14"/>
          <w:w w:val="102"/>
          <w:sz w:val="36"/>
          <w:szCs w:val="36"/>
          <w:lang w:val="en-US" w:eastAsia="zh-CN"/>
        </w:rPr>
        <w:t>附件2：“中国好建筑”—既有建筑能效提升评价细则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二、能耗诊断和统计信息</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1、节能诊断分析：分析改造前1</w:t>
      </w:r>
      <w:r>
        <w:rPr>
          <w:rFonts w:ascii="仿宋_GB2312" w:eastAsia="仿宋_GB2312"/>
          <w:sz w:val="28"/>
          <w:szCs w:val="32"/>
        </w:rPr>
        <w:t>-3</w:t>
      </w:r>
      <w:r>
        <w:rPr>
          <w:rFonts w:hint="eastAsia" w:ascii="仿宋_GB2312" w:eastAsia="仿宋_GB2312"/>
          <w:sz w:val="28"/>
          <w:szCs w:val="32"/>
        </w:rPr>
        <w:t>年项目的总能耗，单位面积能耗、单位人居能耗。分析改造后项目的总能耗，单位面积能耗、单位人居能耗。</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2</w:t>
      </w:r>
      <w:r>
        <w:rPr>
          <w:rFonts w:hint="eastAsia" w:ascii="仿宋_GB2312" w:eastAsia="仿宋_GB2312"/>
          <w:sz w:val="28"/>
          <w:szCs w:val="32"/>
        </w:rPr>
        <w:t>、能耗分析：分析建筑节能量和节能率。</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三、能效提升主要内容和方案</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1、节能改造内容和方案：节能改造目标，用能设备系统节能改造的详细内容、围护结构节能改造的详细内容，节能改造的综合性解决方案和关键技术。</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四、经济效益分析</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1、单项节能量分析：分析改造的单项建筑用能系统的节能率；</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2、整体节能效果分析：分析建筑整体节能效果；</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3、节能改造投资分析：节能改造投资回收方式、节能能源费用及投资回收期；</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4</w:t>
      </w:r>
      <w:r>
        <w:rPr>
          <w:rFonts w:hint="eastAsia" w:ascii="仿宋_GB2312" w:eastAsia="仿宋_GB2312"/>
          <w:sz w:val="28"/>
          <w:szCs w:val="32"/>
        </w:rPr>
        <w:t>、创新点和亮点：关键技术、模式创新等。</w:t>
      </w: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pacing w:line="360" w:lineRule="auto"/>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中国好建筑—既有建筑能效提升评价表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2294"/>
        <w:gridCol w:w="2075"/>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能耗诊断和统计信息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节能量</w:t>
            </w:r>
          </w:p>
        </w:tc>
        <w:tc>
          <w:tcPr>
            <w:tcW w:w="1296" w:type="pc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节能率</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联系人和电话</w:t>
            </w:r>
          </w:p>
        </w:tc>
        <w:tc>
          <w:tcPr>
            <w:tcW w:w="3682" w:type="pct"/>
            <w:gridSpan w:val="3"/>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节能改造内容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节能改造内容（在以下选项中打“√”）：</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 xml:space="preserve">□围护结构                □供暖系统          □通风空调系统   </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□生活热水系统            □给排水系统        □供配电</w:t>
            </w:r>
            <w:r>
              <w:rPr>
                <w:rFonts w:hint="eastAsia" w:ascii="Times New Roman" w:hAnsi="Times New Roman" w:eastAsia="黑体" w:cs="Times New Roman"/>
                <w:sz w:val="24"/>
                <w:szCs w:val="24"/>
              </w:rPr>
              <w:t>、照明</w:t>
            </w:r>
            <w:r>
              <w:rPr>
                <w:rFonts w:ascii="Times New Roman" w:hAnsi="Times New Roman" w:eastAsia="黑体" w:cs="Times New Roman"/>
                <w:sz w:val="24"/>
                <w:szCs w:val="24"/>
              </w:rPr>
              <w:t>系统</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□监测与控制系统          □可再生能源利用</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□其他</w:t>
            </w:r>
            <w:r>
              <w:rPr>
                <w:rFonts w:hint="eastAsia" w:ascii="Times New Roman" w:hAnsi="Times New Roman"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gridSpan w:val="4"/>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（综合考虑围护结构、机电系统、可再生能源系统、运行管理等，提出系统改造方案）</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rPr>
                <w:rFonts w:hint="eastAsia"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建筑用能运行数据（改造前）—2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179"/>
        <w:gridCol w:w="984"/>
        <w:gridCol w:w="831"/>
        <w:gridCol w:w="1136"/>
        <w:gridCol w:w="1140"/>
        <w:gridCol w:w="834"/>
        <w:gridCol w:w="10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建筑用能运行数据（改造后）—2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179"/>
        <w:gridCol w:w="984"/>
        <w:gridCol w:w="831"/>
        <w:gridCol w:w="1136"/>
        <w:gridCol w:w="1140"/>
        <w:gridCol w:w="834"/>
        <w:gridCol w:w="10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p>
      <w:pPr>
        <w:snapToGrid w:val="0"/>
        <w:spacing w:line="500" w:lineRule="exact"/>
        <w:ind w:firstLine="560" w:firstLineChars="200"/>
        <w:jc w:val="center"/>
        <w:rPr>
          <w:rFonts w:ascii="仿宋_GB2312" w:eastAsia="仿宋_GB2312"/>
          <w:sz w:val="28"/>
          <w:szCs w:val="32"/>
        </w:rPr>
      </w:pPr>
      <m:oMath>
        <m:r>
          <m:rPr>
            <m:sty m:val="p"/>
          </m:rPr>
          <w:rPr>
            <w:rFonts w:hint="eastAsia" w:ascii="Cambria Math" w:hAnsi="Cambria Math" w:eastAsia="仿宋_GB2312"/>
            <w:sz w:val="28"/>
            <w:szCs w:val="32"/>
          </w:rPr>
          <m:t>综合能耗（</m:t>
        </m:r>
        <m:r>
          <m:rPr>
            <m:sty m:val="p"/>
          </m:rPr>
          <w:rPr>
            <w:rFonts w:ascii="Cambria Math" w:hAnsi="Cambria Math" w:eastAsia="仿宋_GB2312"/>
            <w:sz w:val="28"/>
            <w:szCs w:val="32"/>
          </w:rPr>
          <m:t>KWh</m:t>
        </m:r>
        <m:r>
          <m:rPr>
            <m:sty m:val="p"/>
          </m:rPr>
          <w:rPr>
            <w:rFonts w:hint="eastAsia" w:ascii="Cambria Math" w:hAnsi="Cambria Math" w:eastAsia="仿宋_GB2312"/>
            <w:sz w:val="28"/>
            <w:szCs w:val="32"/>
          </w:rPr>
          <m:t>）=</m:t>
        </m:r>
        <m:nary>
          <m:naryPr>
            <m:chr m:val="∑"/>
            <m:limLoc m:val="undOvr"/>
            <m:ctrlPr>
              <w:rPr>
                <w:rFonts w:ascii="Cambria Math" w:hAnsi="Cambria Math" w:eastAsia="仿宋_GB2312"/>
                <w:sz w:val="28"/>
                <w:szCs w:val="32"/>
              </w:rPr>
            </m:ctrlPr>
          </m:naryPr>
          <m:sub>
            <m:r>
              <m:rPr/>
              <w:rPr>
                <w:rFonts w:hint="eastAsia" w:ascii="Cambria Math" w:hAnsi="Cambria Math" w:eastAsia="仿宋_GB2312"/>
                <w:sz w:val="28"/>
                <w:szCs w:val="32"/>
              </w:rPr>
              <m:t>1</m:t>
            </m:r>
            <m:ctrlPr>
              <w:rPr>
                <w:rFonts w:ascii="Cambria Math" w:hAnsi="Cambria Math" w:eastAsia="仿宋_GB2312"/>
                <w:sz w:val="28"/>
                <w:szCs w:val="32"/>
              </w:rPr>
            </m:ctrlPr>
          </m:sub>
          <m:sup>
            <m:r>
              <m:rPr/>
              <w:rPr>
                <w:rFonts w:hint="eastAsia" w:ascii="Cambria Math" w:hAnsi="Cambria Math" w:eastAsia="仿宋_GB2312"/>
                <w:sz w:val="28"/>
                <w:szCs w:val="32"/>
              </w:rPr>
              <m:t>12</m:t>
            </m:r>
            <m:ctrlPr>
              <w:rPr>
                <w:rFonts w:ascii="Cambria Math" w:hAnsi="Cambria Math" w:eastAsia="仿宋_GB2312"/>
                <w:sz w:val="28"/>
                <w:szCs w:val="32"/>
              </w:rPr>
            </m:ctrlPr>
          </m:sup>
          <m:e>
            <m:r>
              <m:rPr/>
              <w:rPr>
                <w:rFonts w:hint="eastAsia" w:ascii="Cambria Math" w:hAnsi="Cambria Math" w:eastAsia="仿宋_GB2312"/>
                <w:sz w:val="28"/>
                <w:szCs w:val="32"/>
              </w:rPr>
              <m:t>电</m:t>
            </m:r>
            <m:ctrlPr>
              <w:rPr>
                <w:rFonts w:ascii="Cambria Math" w:hAnsi="Cambria Math" w:eastAsia="仿宋_GB2312"/>
                <w:sz w:val="28"/>
                <w:szCs w:val="32"/>
              </w:rPr>
            </m:ctrlPr>
          </m:e>
        </m:nary>
        <m:r>
          <m:rPr/>
          <w:rPr>
            <w:rFonts w:hint="eastAsia" w:ascii="Cambria Math" w:hAnsi="Cambria Math" w:eastAsia="仿宋_GB2312"/>
            <w:sz w:val="28"/>
            <w:szCs w:val="32"/>
          </w:rPr>
          <m:t>+9.5</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天然气</m:t>
            </m:r>
            <m:ctrlPr>
              <w:rPr>
                <w:rFonts w:ascii="Cambria Math" w:hAnsi="Cambria Math" w:eastAsia="仿宋_GB2312"/>
                <w:i/>
                <w:sz w:val="28"/>
                <w:szCs w:val="32"/>
              </w:rPr>
            </m:ctrlPr>
          </m:e>
        </m:nary>
        <m:r>
          <m:rPr/>
          <w:rPr>
            <w:rFonts w:hint="eastAsia" w:ascii="Cambria Math" w:hAnsi="Cambria Math" w:eastAsia="仿宋_GB2312"/>
            <w:sz w:val="28"/>
            <w:szCs w:val="32"/>
          </w:rPr>
          <m:t>+628</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外购蒸汽</m:t>
            </m:r>
            <m:ctrlPr>
              <w:rPr>
                <w:rFonts w:ascii="Cambria Math" w:hAnsi="Cambria Math" w:eastAsia="仿宋_GB2312"/>
                <w:i/>
                <w:sz w:val="28"/>
                <w:szCs w:val="32"/>
              </w:rPr>
            </m:ctrlPr>
          </m:e>
        </m:nary>
        <m:r>
          <m:rPr/>
          <w:rPr>
            <w:rFonts w:hint="eastAsia" w:ascii="Cambria Math" w:hAnsi="Cambria Math" w:eastAsia="仿宋_GB2312"/>
            <w:sz w:val="28"/>
            <w:szCs w:val="32"/>
          </w:rPr>
          <m:t>+35</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外购生活热水</m:t>
            </m:r>
            <m:ctrlPr>
              <w:rPr>
                <w:rFonts w:ascii="Cambria Math" w:hAnsi="Cambria Math" w:eastAsia="仿宋_GB2312"/>
                <w:i/>
                <w:sz w:val="28"/>
                <w:szCs w:val="32"/>
              </w:rPr>
            </m:ctrlPr>
          </m:e>
        </m:nary>
        <m:r>
          <m:rPr/>
          <w:rPr>
            <w:rFonts w:hint="eastAsia" w:ascii="Cambria Math" w:hAnsi="Cambria Math" w:eastAsia="仿宋_GB2312"/>
            <w:sz w:val="28"/>
            <w:szCs w:val="32"/>
          </w:rPr>
          <m:t>+277.8</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d>
              <m:dPr>
                <m:ctrlPr>
                  <w:rPr>
                    <w:rFonts w:ascii="Cambria Math" w:hAnsi="Cambria Math" w:eastAsia="仿宋_GB2312"/>
                    <w:i/>
                    <w:sz w:val="28"/>
                    <w:szCs w:val="32"/>
                  </w:rPr>
                </m:ctrlPr>
              </m:dPr>
              <m:e>
                <m:r>
                  <m:rPr/>
                  <w:rPr>
                    <w:rFonts w:hint="eastAsia" w:ascii="Cambria Math" w:hAnsi="Cambria Math" w:eastAsia="仿宋_GB2312"/>
                    <w:sz w:val="28"/>
                    <w:szCs w:val="32"/>
                  </w:rPr>
                  <m:t>外购采暖热量+外购冷量</m:t>
                </m:r>
                <m:ctrlPr>
                  <w:rPr>
                    <w:rFonts w:ascii="Cambria Math" w:hAnsi="Cambria Math" w:eastAsia="仿宋_GB2312"/>
                    <w:i/>
                    <w:sz w:val="28"/>
                    <w:szCs w:val="32"/>
                  </w:rPr>
                </m:ctrlPr>
              </m:e>
            </m:d>
            <m:r>
              <m:rPr/>
              <w:rPr>
                <w:rFonts w:hint="eastAsia" w:ascii="Cambria Math" w:hAnsi="Cambria Math" w:eastAsia="仿宋_GB2312"/>
                <w:sz w:val="28"/>
                <w:szCs w:val="32"/>
              </w:rPr>
              <m:t>+</m:t>
            </m:r>
            <m:ctrlPr>
              <w:rPr>
                <w:rFonts w:ascii="Cambria Math" w:hAnsi="Cambria Math" w:eastAsia="仿宋_GB2312"/>
                <w:i/>
                <w:sz w:val="28"/>
                <w:szCs w:val="32"/>
              </w:rPr>
            </m:ctrlPr>
          </m:e>
        </m:nary>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太阳能发电</m:t>
            </m:r>
            <m:ctrlPr>
              <w:rPr>
                <w:rFonts w:ascii="Cambria Math" w:hAnsi="Cambria Math" w:eastAsia="仿宋_GB2312"/>
                <w:i/>
                <w:sz w:val="28"/>
                <w:szCs w:val="32"/>
              </w:rPr>
            </m:ctrlPr>
          </m:e>
        </m:nary>
        <m:r>
          <m:rPr/>
          <w:rPr>
            <w:rFonts w:hint="eastAsia"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其他能源</m:t>
            </m:r>
            <m:ctrlPr>
              <w:rPr>
                <w:rFonts w:ascii="Cambria Math" w:hAnsi="Cambria Math" w:eastAsia="仿宋_GB2312"/>
                <w:i/>
                <w:sz w:val="28"/>
                <w:szCs w:val="32"/>
              </w:rPr>
            </m:ctrlPr>
          </m:e>
        </m:nary>
      </m:oMath>
      <w:bookmarkEnd w:id="0"/>
      <w:r>
        <w:rPr>
          <w:rFonts w:ascii="仿宋_GB2312" w:eastAsia="仿宋_GB2312"/>
          <w:sz w:val="28"/>
          <w:szCs w:val="32"/>
        </w:rPr>
        <w:t xml:space="preserve"> </w:t>
      </w:r>
    </w:p>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sectPr>
          <w:footerReference r:id="rId6" w:type="default"/>
          <w:pgSz w:w="11980" w:h="16890"/>
          <w:pgMar w:top="1435" w:right="1797" w:bottom="1716" w:left="1797" w:header="0" w:footer="1643" w:gutter="0"/>
          <w:cols w:space="720" w:num="1"/>
        </w:sect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r>
        <w:rPr>
          <w:rFonts w:hint="eastAsia" w:ascii="仿宋" w:hAnsi="仿宋" w:eastAsia="仿宋" w:cs="仿宋"/>
          <w:b/>
          <w:bCs/>
          <w:spacing w:val="14"/>
          <w:w w:val="102"/>
          <w:sz w:val="36"/>
          <w:szCs w:val="36"/>
          <w:lang w:val="en-US" w:eastAsia="zh-CN"/>
        </w:rPr>
        <w:t>附件3 ：“中国好建筑”—智慧建筑评价细则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二、智慧建筑设备情况</w:t>
      </w:r>
    </w:p>
    <w:p>
      <w:pPr>
        <w:ind w:firstLine="560" w:firstLineChars="200"/>
        <w:jc w:val="left"/>
        <w:rPr>
          <w:rFonts w:ascii="仿宋_GB2312" w:hAnsi="仿宋" w:eastAsia="仿宋_GB2312"/>
          <w:sz w:val="28"/>
        </w:rPr>
      </w:pPr>
      <w:r>
        <w:rPr>
          <w:rFonts w:hint="eastAsia" w:ascii="仿宋_GB2312" w:hAnsi="仿宋" w:eastAsia="仿宋_GB2312"/>
          <w:sz w:val="28"/>
        </w:rPr>
        <w:t>包括建筑信息化应用系统、智能化集成系统、信息设施系统、建筑设备管理系统、公共安全系统。</w:t>
      </w:r>
    </w:p>
    <w:p>
      <w:pPr>
        <w:ind w:firstLine="562" w:firstLineChars="200"/>
        <w:jc w:val="left"/>
        <w:rPr>
          <w:rFonts w:ascii="仿宋" w:hAnsi="仿宋" w:eastAsia="仿宋"/>
          <w:b/>
          <w:bCs/>
          <w:sz w:val="28"/>
        </w:rPr>
      </w:pPr>
      <w:r>
        <w:rPr>
          <w:rFonts w:hint="eastAsia" w:ascii="仿宋" w:hAnsi="仿宋" w:eastAsia="仿宋"/>
          <w:b/>
          <w:bCs/>
          <w:sz w:val="28"/>
        </w:rPr>
        <w:t>1、信息化应用系统设备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包括公共服务、智能卡应用、物业管理、 信息设施运行管理、信息安全管理、通用业务和专业业务等信息化 应用系统。</w:t>
      </w:r>
    </w:p>
    <w:p>
      <w:pPr>
        <w:ind w:firstLine="560" w:firstLineChars="200"/>
        <w:jc w:val="left"/>
        <w:rPr>
          <w:rFonts w:ascii="仿宋" w:hAnsi="仿宋" w:eastAsia="仿宋"/>
          <w:b/>
          <w:sz w:val="28"/>
        </w:rPr>
      </w:pPr>
      <w:r>
        <w:rPr>
          <w:rFonts w:hint="eastAsia" w:ascii="仿宋" w:hAnsi="仿宋" w:eastAsia="仿宋"/>
          <w:sz w:val="28"/>
        </w:rPr>
        <w:t>2、</w:t>
      </w:r>
      <w:r>
        <w:rPr>
          <w:rFonts w:hint="eastAsia" w:ascii="仿宋" w:hAnsi="仿宋" w:eastAsia="仿宋"/>
          <w:b/>
          <w:sz w:val="28"/>
        </w:rPr>
        <w:t>智能化集成系统设备</w:t>
      </w:r>
    </w:p>
    <w:p>
      <w:pPr>
        <w:ind w:firstLine="560" w:firstLineChars="200"/>
        <w:jc w:val="left"/>
        <w:rPr>
          <w:rFonts w:ascii="仿宋_GB2312" w:hAnsi="仿宋" w:eastAsia="仿宋_GB2312"/>
          <w:sz w:val="28"/>
        </w:rPr>
      </w:pPr>
      <w:r>
        <w:rPr>
          <w:rFonts w:hint="eastAsia" w:ascii="仿宋_GB2312" w:hAnsi="仿宋" w:eastAsia="仿宋_GB2312"/>
          <w:sz w:val="28"/>
        </w:rPr>
        <w:t>（1）系统应包括智能化信息集成(平台)系统与集成信息应用系统;</w:t>
      </w:r>
    </w:p>
    <w:p>
      <w:pPr>
        <w:ind w:firstLine="560" w:firstLineChars="200"/>
        <w:jc w:val="left"/>
        <w:rPr>
          <w:rFonts w:ascii="仿宋_GB2312" w:hAnsi="仿宋" w:eastAsia="仿宋_GB2312"/>
          <w:sz w:val="28"/>
        </w:rPr>
      </w:pPr>
      <w:r>
        <w:rPr>
          <w:rFonts w:hint="eastAsia" w:ascii="仿宋_GB2312" w:hAnsi="仿宋" w:eastAsia="仿宋_GB2312"/>
          <w:sz w:val="28"/>
        </w:rPr>
        <w:t xml:space="preserve">（2）智能化信息集成(平台)系统宜包括操作系统、数据库、集成系统平台应用程序、各纳入集成管理的智能化设施系统与集成互为关联的各类信息通信接口等; </w:t>
      </w:r>
    </w:p>
    <w:p>
      <w:pPr>
        <w:ind w:firstLine="560" w:firstLineChars="200"/>
        <w:jc w:val="left"/>
        <w:rPr>
          <w:rFonts w:ascii="仿宋_GB2312" w:hAnsi="仿宋" w:eastAsia="仿宋_GB2312"/>
          <w:sz w:val="28"/>
        </w:rPr>
      </w:pPr>
      <w:r>
        <w:rPr>
          <w:rFonts w:hint="eastAsia" w:ascii="仿宋_GB2312" w:hAnsi="仿宋" w:eastAsia="仿宋_GB2312"/>
          <w:sz w:val="28"/>
        </w:rPr>
        <w:t xml:space="preserve">（3）集成信息应用系统宜由通用业务基础功能模块和专业业务运营功能模块等组成; </w:t>
      </w:r>
    </w:p>
    <w:p>
      <w:pPr>
        <w:ind w:firstLine="560" w:firstLineChars="200"/>
        <w:jc w:val="left"/>
        <w:rPr>
          <w:rFonts w:ascii="仿宋_GB2312" w:hAnsi="仿宋" w:eastAsia="仿宋_GB2312"/>
          <w:sz w:val="28"/>
        </w:rPr>
      </w:pPr>
      <w:r>
        <w:rPr>
          <w:rFonts w:hint="eastAsia" w:ascii="仿宋_GB2312" w:hAnsi="仿宋" w:eastAsia="仿宋_GB2312"/>
          <w:sz w:val="28"/>
        </w:rPr>
        <w:t>（4）宜具有虚拟化、分布式应用、统一安全管理等整体平台的支撑能力;</w:t>
      </w:r>
    </w:p>
    <w:p>
      <w:pPr>
        <w:ind w:firstLine="560" w:firstLineChars="200"/>
        <w:jc w:val="left"/>
        <w:rPr>
          <w:rFonts w:ascii="仿宋_GB2312" w:hAnsi="仿宋" w:eastAsia="仿宋_GB2312"/>
          <w:sz w:val="28"/>
        </w:rPr>
      </w:pPr>
      <w:r>
        <w:rPr>
          <w:rFonts w:hint="eastAsia" w:ascii="仿宋_GB2312" w:hAnsi="仿宋" w:eastAsia="仿宋_GB2312"/>
          <w:sz w:val="28"/>
        </w:rPr>
        <w:t>（5）宜顺应物联网、云计算、大数据、智慧城市等信息交互多元化和新应用的发展。</w:t>
      </w:r>
    </w:p>
    <w:p>
      <w:pPr>
        <w:ind w:firstLine="562" w:firstLineChars="200"/>
        <w:jc w:val="left"/>
        <w:rPr>
          <w:rFonts w:ascii="仿宋" w:hAnsi="仿宋" w:eastAsia="仿宋"/>
          <w:b/>
          <w:bCs/>
          <w:sz w:val="28"/>
        </w:rPr>
      </w:pPr>
      <w:r>
        <w:rPr>
          <w:rFonts w:hint="eastAsia" w:ascii="仿宋" w:hAnsi="仿宋" w:eastAsia="仿宋"/>
          <w:b/>
          <w:bCs/>
          <w:sz w:val="28"/>
        </w:rPr>
        <w:t>3、信息设施系统设备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信息接入系统、布线系统、移动通信室内信号覆盖系统、卫星通信系统、用户电话交换系统、无线对讲系统、信息网络系统、有线电视及卫星电视接收系统、公共广播系统、会议系统、信息导引及发布系统、时钟系统等信息设施系统。</w:t>
      </w:r>
    </w:p>
    <w:p>
      <w:pPr>
        <w:ind w:firstLine="562" w:firstLineChars="200"/>
        <w:jc w:val="left"/>
        <w:rPr>
          <w:rFonts w:ascii="仿宋" w:hAnsi="仿宋" w:eastAsia="仿宋"/>
          <w:b/>
          <w:bCs/>
          <w:sz w:val="28"/>
        </w:rPr>
      </w:pPr>
      <w:r>
        <w:rPr>
          <w:rFonts w:hint="eastAsia" w:ascii="仿宋" w:hAnsi="仿宋" w:eastAsia="仿宋"/>
          <w:b/>
          <w:bCs/>
          <w:sz w:val="28"/>
        </w:rPr>
        <w:t>4、建筑设备管理系统设备</w:t>
      </w:r>
    </w:p>
    <w:p>
      <w:pPr>
        <w:ind w:firstLine="560" w:firstLineChars="200"/>
        <w:jc w:val="left"/>
        <w:rPr>
          <w:rFonts w:ascii="仿宋_GB2312" w:hAnsi="仿宋" w:eastAsia="仿宋_GB2312"/>
          <w:sz w:val="28"/>
        </w:rPr>
      </w:pPr>
      <w:r>
        <w:rPr>
          <w:rFonts w:hint="eastAsia" w:ascii="仿宋_GB2312" w:hAnsi="仿宋" w:eastAsia="仿宋_GB2312"/>
          <w:sz w:val="28"/>
        </w:rPr>
        <w:t>包括建筑设备监控系统、建筑能效监管系统，以及需纳入管理的其他业务设施系统等。</w:t>
      </w:r>
    </w:p>
    <w:p>
      <w:pPr>
        <w:ind w:firstLine="562" w:firstLineChars="200"/>
        <w:jc w:val="left"/>
        <w:rPr>
          <w:rFonts w:ascii="仿宋" w:hAnsi="仿宋" w:eastAsia="仿宋"/>
          <w:b/>
          <w:bCs/>
          <w:sz w:val="28"/>
        </w:rPr>
      </w:pPr>
      <w:r>
        <w:rPr>
          <w:rFonts w:hint="eastAsia" w:ascii="仿宋" w:hAnsi="仿宋" w:eastAsia="仿宋"/>
          <w:b/>
          <w:bCs/>
          <w:sz w:val="28"/>
        </w:rPr>
        <w:t>5、公共安全系统设备</w:t>
      </w:r>
    </w:p>
    <w:p>
      <w:pPr>
        <w:ind w:firstLine="560" w:firstLineChars="200"/>
        <w:jc w:val="left"/>
        <w:rPr>
          <w:rFonts w:ascii="仿宋" w:hAnsi="仿宋" w:eastAsia="仿宋"/>
          <w:sz w:val="28"/>
        </w:rPr>
      </w:pPr>
      <w:r>
        <w:rPr>
          <w:rFonts w:hint="eastAsia" w:ascii="仿宋" w:hAnsi="仿宋" w:eastAsia="仿宋"/>
          <w:sz w:val="28"/>
        </w:rPr>
        <w:t>包括火灾自动报警系统、安全技术防范系统和应急响应系统等。</w:t>
      </w:r>
    </w:p>
    <w:p>
      <w:pPr>
        <w:ind w:firstLine="562" w:firstLineChars="200"/>
        <w:jc w:val="left"/>
        <w:rPr>
          <w:rFonts w:ascii="仿宋" w:hAnsi="仿宋" w:eastAsia="仿宋"/>
          <w:b/>
          <w:bCs/>
          <w:sz w:val="28"/>
        </w:rPr>
      </w:pPr>
      <w:r>
        <w:rPr>
          <w:rFonts w:hint="eastAsia" w:ascii="仿宋" w:hAnsi="仿宋" w:eastAsia="仿宋"/>
          <w:b/>
          <w:bCs/>
          <w:sz w:val="28"/>
        </w:rPr>
        <w:t>三、智慧建筑运行效果分析</w:t>
      </w:r>
    </w:p>
    <w:p>
      <w:pPr>
        <w:ind w:firstLine="560" w:firstLineChars="200"/>
        <w:jc w:val="left"/>
        <w:rPr>
          <w:rFonts w:ascii="仿宋_GB2312" w:hAnsi="仿宋" w:eastAsia="仿宋_GB2312"/>
          <w:sz w:val="28"/>
        </w:rPr>
      </w:pPr>
      <w:r>
        <w:rPr>
          <w:rFonts w:hint="eastAsia" w:ascii="仿宋_GB2312" w:hAnsi="仿宋" w:eastAsia="仿宋_GB2312"/>
          <w:sz w:val="28"/>
        </w:rPr>
        <w:t>1、是否满足建筑物运行和管理的信息化需要;</w:t>
      </w:r>
    </w:p>
    <w:p>
      <w:pPr>
        <w:ind w:firstLine="560" w:firstLineChars="200"/>
        <w:jc w:val="left"/>
        <w:rPr>
          <w:rFonts w:ascii="仿宋_GB2312" w:hAnsi="仿宋" w:eastAsia="仿宋_GB2312"/>
          <w:sz w:val="28"/>
        </w:rPr>
      </w:pPr>
      <w:r>
        <w:rPr>
          <w:rFonts w:ascii="仿宋_GB2312" w:hAnsi="仿宋" w:eastAsia="仿宋_GB2312"/>
          <w:sz w:val="28"/>
        </w:rPr>
        <w:t>2</w:t>
      </w:r>
      <w:r>
        <w:rPr>
          <w:rFonts w:hint="eastAsia" w:ascii="仿宋_GB2312" w:hAnsi="仿宋" w:eastAsia="仿宋_GB2312"/>
          <w:sz w:val="28"/>
        </w:rPr>
        <w:t>、是否满足对智能化实时信息及历史数据分析、可视化展现的要求;</w:t>
      </w:r>
    </w:p>
    <w:p>
      <w:pPr>
        <w:ind w:firstLine="560" w:firstLineChars="200"/>
        <w:jc w:val="left"/>
        <w:rPr>
          <w:rFonts w:ascii="仿宋_GB2312" w:hAnsi="仿宋" w:eastAsia="仿宋_GB2312"/>
          <w:sz w:val="28"/>
        </w:rPr>
      </w:pPr>
      <w:r>
        <w:rPr>
          <w:rFonts w:hint="eastAsia" w:ascii="仿宋_GB2312" w:hAnsi="仿宋" w:eastAsia="仿宋_GB2312"/>
          <w:sz w:val="28"/>
        </w:rPr>
        <w:t>3、是否具有对建筑内外相关的语音、数据、图像和多媒体等形式的信息予以接受、交换、传输、处理、存储、检索和显示等功能;</w:t>
      </w:r>
    </w:p>
    <w:p>
      <w:pPr>
        <w:ind w:firstLine="560" w:firstLineChars="200"/>
        <w:jc w:val="left"/>
        <w:rPr>
          <w:rFonts w:ascii="仿宋_GB2312" w:hAnsi="仿宋" w:eastAsia="仿宋_GB2312"/>
          <w:sz w:val="28"/>
        </w:rPr>
      </w:pPr>
      <w:r>
        <w:rPr>
          <w:rFonts w:ascii="仿宋_GB2312" w:hAnsi="仿宋" w:eastAsia="仿宋_GB2312"/>
          <w:sz w:val="28"/>
        </w:rPr>
        <w:t>4</w:t>
      </w:r>
      <w:r>
        <w:rPr>
          <w:rFonts w:hint="eastAsia" w:ascii="仿宋_GB2312" w:hAnsi="仿宋" w:eastAsia="仿宋_GB2312"/>
          <w:sz w:val="28"/>
        </w:rPr>
        <w:t xml:space="preserve">、是否融合信息化所需的各类信息设施，并为建筑的使用者及管理者提供信息化应用的基础条件。 </w:t>
      </w:r>
    </w:p>
    <w:p>
      <w:pPr>
        <w:ind w:firstLine="560" w:firstLineChars="200"/>
        <w:jc w:val="left"/>
        <w:rPr>
          <w:rFonts w:ascii="仿宋_GB2312" w:hAnsi="仿宋" w:eastAsia="仿宋_GB2312"/>
          <w:sz w:val="28"/>
        </w:rPr>
      </w:pPr>
      <w:r>
        <w:rPr>
          <w:rFonts w:ascii="仿宋_GB2312" w:hAnsi="仿宋" w:eastAsia="仿宋_GB2312"/>
          <w:sz w:val="28"/>
        </w:rPr>
        <w:t>5</w:t>
      </w:r>
      <w:r>
        <w:rPr>
          <w:rFonts w:hint="eastAsia" w:ascii="仿宋_GB2312" w:hAnsi="仿宋" w:eastAsia="仿宋_GB2312"/>
          <w:sz w:val="28"/>
        </w:rPr>
        <w:t>、是否有效地应对建筑内火灾、非法侵入、自然灾害、重大安全事故等危害人们生命和财产安全的各种突发事件。</w:t>
      </w:r>
      <w:r>
        <w:rPr>
          <w:rFonts w:ascii="仿宋_GB2312" w:hAnsi="仿宋" w:eastAsia="仿宋_GB2312"/>
          <w:sz w:val="28"/>
        </w:rPr>
        <w:t xml:space="preserve"> </w:t>
      </w:r>
    </w:p>
    <w:p>
      <w:pPr>
        <w:ind w:firstLine="562" w:firstLineChars="200"/>
        <w:jc w:val="left"/>
        <w:rPr>
          <w:rFonts w:ascii="仿宋" w:hAnsi="仿宋" w:eastAsia="仿宋"/>
          <w:b/>
          <w:bCs/>
          <w:sz w:val="28"/>
        </w:rPr>
      </w:pPr>
      <w:r>
        <w:rPr>
          <w:rFonts w:hint="eastAsia" w:ascii="仿宋" w:hAnsi="仿宋" w:eastAsia="仿宋"/>
          <w:b/>
          <w:bCs/>
          <w:sz w:val="28"/>
        </w:rPr>
        <w:t>四、效益分析</w:t>
      </w:r>
    </w:p>
    <w:p>
      <w:pPr>
        <w:ind w:firstLine="560" w:firstLineChars="200"/>
        <w:jc w:val="left"/>
        <w:rPr>
          <w:rFonts w:ascii="仿宋_GB2312" w:hAnsi="仿宋" w:eastAsia="仿宋_GB2312"/>
          <w:sz w:val="28"/>
        </w:rPr>
      </w:pPr>
      <w:r>
        <w:rPr>
          <w:rFonts w:hint="eastAsia" w:ascii="仿宋_GB2312" w:hAnsi="仿宋" w:eastAsia="仿宋_GB2312"/>
          <w:sz w:val="28"/>
        </w:rPr>
        <w:t>1、为建筑业主提供哪些便利的服务，保证建筑可持续健康运行；</w:t>
      </w:r>
    </w:p>
    <w:p>
      <w:pPr>
        <w:ind w:firstLine="560" w:firstLineChars="200"/>
        <w:jc w:val="left"/>
        <w:rPr>
          <w:rFonts w:ascii="仿宋_GB2312" w:hAnsi="仿宋" w:eastAsia="仿宋_GB2312"/>
          <w:sz w:val="28"/>
        </w:rPr>
      </w:pPr>
      <w:r>
        <w:rPr>
          <w:rFonts w:hint="eastAsia" w:ascii="仿宋_GB2312" w:hAnsi="仿宋" w:eastAsia="仿宋_GB2312"/>
          <w:sz w:val="28"/>
        </w:rPr>
        <w:t>2、智慧建筑单位面积成本和增量成本；</w:t>
      </w:r>
    </w:p>
    <w:p>
      <w:pPr>
        <w:ind w:firstLine="560" w:firstLineChars="200"/>
        <w:jc w:val="left"/>
        <w:rPr>
          <w:rFonts w:ascii="仿宋_GB2312" w:hAnsi="仿宋" w:eastAsia="仿宋_GB2312"/>
          <w:sz w:val="28"/>
        </w:rPr>
      </w:pPr>
      <w:r>
        <w:rPr>
          <w:rFonts w:ascii="仿宋_GB2312" w:hAnsi="仿宋" w:eastAsia="仿宋_GB2312"/>
          <w:sz w:val="28"/>
        </w:rPr>
        <w:t>3</w:t>
      </w:r>
      <w:r>
        <w:rPr>
          <w:rFonts w:hint="eastAsia" w:ascii="仿宋_GB2312" w:hAnsi="仿宋" w:eastAsia="仿宋_GB2312"/>
          <w:sz w:val="28"/>
        </w:rPr>
        <w:t>、创新点和亮点：关键技术、模式创新等。</w:t>
      </w:r>
    </w:p>
    <w:p>
      <w:pPr>
        <w:spacing w:before="156" w:beforeLines="50" w:after="156" w:afterLines="50"/>
        <w:jc w:val="center"/>
        <w:rPr>
          <w:rFonts w:hint="eastAsia"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中国好建筑—智慧建筑评价表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智慧建筑设备情况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信息化应用系统设备：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智能化集成系统设备：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信息设施系统设备：</w:t>
            </w:r>
          </w:p>
          <w:p>
            <w:pPr>
              <w:spacing w:line="360" w:lineRule="auto"/>
              <w:rPr>
                <w:rFonts w:ascii="仿宋_GB2312" w:hAnsi="仿宋" w:eastAsia="仿宋_GB2312"/>
                <w:sz w:val="24"/>
                <w:szCs w:val="24"/>
              </w:rPr>
            </w:pPr>
          </w:p>
          <w:p>
            <w:pPr>
              <w:spacing w:line="360" w:lineRule="auto"/>
              <w:rPr>
                <w:rFonts w:ascii="仿宋_GB2312" w:hAnsi="仿宋" w:eastAsia="仿宋_GB2312"/>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建筑设备管理系统设备：</w:t>
            </w: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p>
          <w:p>
            <w:pPr>
              <w:spacing w:line="360" w:lineRule="auto"/>
              <w:rPr>
                <w:rFonts w:ascii="Times New Roman" w:hAnsi="Times New Roman" w:eastAsia="黑体" w:cs="Times New Roman"/>
                <w:sz w:val="24"/>
                <w:szCs w:val="24"/>
              </w:rPr>
            </w:pPr>
            <w:r>
              <w:rPr>
                <w:rFonts w:hint="eastAsia" w:ascii="Times New Roman" w:hAnsi="Times New Roman" w:eastAsia="黑体" w:cs="Times New Roman"/>
                <w:sz w:val="24"/>
                <w:szCs w:val="24"/>
              </w:rPr>
              <w:t>公共安全系统设备：</w:t>
            </w:r>
          </w:p>
          <w:p>
            <w:pPr>
              <w:spacing w:line="360" w:lineRule="auto"/>
              <w:jc w:val="left"/>
              <w:rPr>
                <w:rFonts w:ascii="仿宋_GB2312" w:hAnsi="仿宋" w:eastAsia="仿宋_GB2312"/>
                <w:sz w:val="24"/>
                <w:szCs w:val="24"/>
              </w:rPr>
            </w:pPr>
          </w:p>
          <w:p>
            <w:pPr>
              <w:spacing w:line="360" w:lineRule="auto"/>
              <w:jc w:val="left"/>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智慧化运行效果分析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（从智慧、便利、节能、低碳、绿色、品质、安全等角度分析智慧建筑运行效果）</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hint="eastAsia" w:ascii="Times New Roman" w:hAnsi="Times New Roman" w:eastAsia="黑体" w:cs="Times New Roman"/>
                <w:sz w:val="24"/>
                <w:szCs w:val="24"/>
              </w:rPr>
            </w:pPr>
          </w:p>
          <w:p>
            <w:pPr>
              <w:rPr>
                <w:rFonts w:ascii="Times New Roman" w:hAnsi="Times New Roman" w:eastAsia="黑体" w:cs="Times New Roman"/>
                <w:sz w:val="24"/>
                <w:szCs w:val="24"/>
              </w:rPr>
            </w:pPr>
          </w:p>
        </w:tc>
      </w:tr>
    </w:tbl>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r>
        <w:rPr>
          <w:rFonts w:hint="eastAsia" w:ascii="仿宋" w:hAnsi="仿宋" w:eastAsia="仿宋" w:cs="仿宋"/>
          <w:b/>
          <w:bCs/>
          <w:spacing w:val="14"/>
          <w:w w:val="102"/>
          <w:sz w:val="36"/>
          <w:szCs w:val="36"/>
          <w:lang w:val="en-US" w:eastAsia="zh-CN"/>
        </w:rPr>
        <w:t>附件： 4" 中国好建筑”—健康建筑评价细则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二、健康建筑设备和运行评价</w:t>
      </w:r>
    </w:p>
    <w:p>
      <w:pPr>
        <w:ind w:firstLine="562" w:firstLineChars="200"/>
        <w:rPr>
          <w:rFonts w:ascii="Times New Roman" w:hAnsi="Times New Roman"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 xml:space="preserve">室内环境处理设备评价 </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（1）采取有效措施避免有气味、颗粒物、臭氧等散发源空间的污染物传统到室内其他空间或室外活动场所。</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（2）采取有效措施保障厨房的排风要求，防止厨房油烟扩散至其他室内空间及室外活动场所。</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（3）建筑外墙、幕墙具有较好的气密性以及阻隔室外污染物穿透进入室内。</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设置空气净化装置降低室内污染物浓度：设置具有空气净化功能的集中式新风系统、分户式新风系统或窗式通风器；未设置新风系统的建筑，在循环风或空调回风系统内部设置净化装置，或在室内设置独立的空气净化装置。</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（5）具有监测P</w:t>
      </w:r>
      <w:r>
        <w:rPr>
          <w:rFonts w:ascii="Times New Roman" w:hAnsi="Times New Roman" w:eastAsia="仿宋_GB2312"/>
          <w:sz w:val="28"/>
          <w:szCs w:val="28"/>
        </w:rPr>
        <w:t>M</w:t>
      </w:r>
      <w:r>
        <w:rPr>
          <w:rFonts w:ascii="Times New Roman" w:hAnsi="Times New Roman" w:eastAsia="仿宋_GB2312"/>
          <w:sz w:val="28"/>
          <w:szCs w:val="28"/>
          <w:vertAlign w:val="subscript"/>
        </w:rPr>
        <w:t>2.5</w:t>
      </w:r>
      <w:r>
        <w:rPr>
          <w:rFonts w:hint="eastAsia" w:ascii="Times New Roman" w:hAnsi="Times New Roman" w:eastAsia="仿宋_GB2312"/>
          <w:sz w:val="28"/>
          <w:szCs w:val="28"/>
        </w:rPr>
        <w:t>、P</w:t>
      </w:r>
      <w:r>
        <w:rPr>
          <w:rFonts w:ascii="Times New Roman" w:hAnsi="Times New Roman" w:eastAsia="仿宋_GB2312"/>
          <w:sz w:val="28"/>
          <w:szCs w:val="28"/>
        </w:rPr>
        <w:t>M</w:t>
      </w:r>
      <w:r>
        <w:rPr>
          <w:rFonts w:ascii="Times New Roman" w:hAnsi="Times New Roman" w:eastAsia="仿宋_GB2312"/>
          <w:sz w:val="28"/>
          <w:szCs w:val="28"/>
          <w:vertAlign w:val="subscript"/>
        </w:rPr>
        <w:t>10</w:t>
      </w:r>
      <w:r>
        <w:rPr>
          <w:rFonts w:hint="eastAsia" w:ascii="Times New Roman" w:hAnsi="Times New Roman" w:eastAsia="仿宋_GB2312"/>
          <w:sz w:val="28"/>
          <w:szCs w:val="28"/>
        </w:rPr>
        <w:t>、C</w:t>
      </w:r>
      <w:r>
        <w:rPr>
          <w:rFonts w:ascii="Times New Roman" w:hAnsi="Times New Roman" w:eastAsia="仿宋_GB2312"/>
          <w:sz w:val="28"/>
          <w:szCs w:val="28"/>
        </w:rPr>
        <w:t>O</w:t>
      </w:r>
      <w:r>
        <w:rPr>
          <w:rFonts w:ascii="Times New Roman" w:hAnsi="Times New Roman" w:eastAsia="仿宋_GB2312"/>
          <w:sz w:val="28"/>
          <w:szCs w:val="28"/>
          <w:vertAlign w:val="subscript"/>
        </w:rPr>
        <w:t>2</w:t>
      </w:r>
      <w:r>
        <w:rPr>
          <w:rFonts w:hint="eastAsia" w:ascii="Times New Roman" w:hAnsi="Times New Roman" w:eastAsia="仿宋_GB2312"/>
          <w:sz w:val="28"/>
          <w:szCs w:val="28"/>
        </w:rPr>
        <w:t>浓度等的空气质量监测系统，且具有储存至少6个月的监测数据和实时显示等功能。</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（6）空气质量监测系统与所有室内空气质量调控设备组成自动控制系统，且具备主要污染物浓度参数限制设定及越限报警等功能。</w:t>
      </w:r>
    </w:p>
    <w:p>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（7）照明控制系统可按需进行自动调节，与遮阳装置联动。</w:t>
      </w:r>
    </w:p>
    <w:p>
      <w:pPr>
        <w:ind w:left="980"/>
        <w:rPr>
          <w:rFonts w:ascii="Times New Roman" w:hAnsi="Times New Roman" w:eastAsia="仿宋_GB2312"/>
          <w:b/>
          <w:sz w:val="28"/>
          <w:szCs w:val="28"/>
        </w:rPr>
      </w:pPr>
      <w:r>
        <w:rPr>
          <w:rFonts w:hint="eastAsia" w:ascii="Times New Roman" w:hAnsi="Times New Roman" w:eastAsia="仿宋_GB2312"/>
          <w:b/>
          <w:sz w:val="28"/>
          <w:szCs w:val="28"/>
        </w:rPr>
        <w:t>2、室内环境评价</w:t>
      </w:r>
    </w:p>
    <w:p>
      <w:pPr>
        <w:spacing w:line="360" w:lineRule="auto"/>
        <w:ind w:firstLine="560" w:firstLineChars="200"/>
        <w:rPr>
          <w:rFonts w:ascii="仿宋_GB2312" w:hAnsi="Times New Roman" w:eastAsia="仿宋_GB2312"/>
          <w:sz w:val="28"/>
          <w:szCs w:val="28"/>
        </w:rPr>
      </w:pPr>
      <w:r>
        <w:rPr>
          <w:rFonts w:hint="eastAsia" w:ascii="仿宋_GB2312" w:hAnsi="Times New Roman" w:eastAsia="仿宋_GB2312"/>
          <w:sz w:val="28"/>
          <w:szCs w:val="28"/>
        </w:rPr>
        <w:t>（1）空气温湿度指标</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1459"/>
        <w:gridCol w:w="1460"/>
        <w:gridCol w:w="1460"/>
        <w:gridCol w:w="1476"/>
        <w:gridCol w:w="1461"/>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序号</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参数</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单位</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标准值</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备注</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1</w:t>
            </w:r>
          </w:p>
        </w:tc>
        <w:tc>
          <w:tcPr>
            <w:tcW w:w="1460"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温度</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22-28</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夏季空调</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continue"/>
            <w:vAlign w:val="center"/>
          </w:tcPr>
          <w:p>
            <w:pPr>
              <w:spacing w:line="360" w:lineRule="auto"/>
              <w:jc w:val="center"/>
              <w:rPr>
                <w:rFonts w:ascii="仿宋_GB2312" w:hAnsi="Times New Roman" w:eastAsia="仿宋_GB2312"/>
                <w:sz w:val="28"/>
                <w:szCs w:val="28"/>
              </w:rPr>
            </w:pPr>
          </w:p>
        </w:tc>
        <w:tc>
          <w:tcPr>
            <w:tcW w:w="1460" w:type="dxa"/>
            <w:vMerge w:val="continue"/>
            <w:vAlign w:val="center"/>
          </w:tcPr>
          <w:p>
            <w:pPr>
              <w:spacing w:line="360" w:lineRule="auto"/>
              <w:jc w:val="center"/>
              <w:rPr>
                <w:rFonts w:ascii="仿宋_GB2312" w:hAnsi="Times New Roman" w:eastAsia="仿宋_GB2312"/>
                <w:sz w:val="28"/>
                <w:szCs w:val="28"/>
              </w:rPr>
            </w:pP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16-24</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冬季采暖</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2</w:t>
            </w:r>
          </w:p>
        </w:tc>
        <w:tc>
          <w:tcPr>
            <w:tcW w:w="1460"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湿度</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40-80</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夏季空调</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continue"/>
            <w:vAlign w:val="center"/>
          </w:tcPr>
          <w:p>
            <w:pPr>
              <w:spacing w:line="360" w:lineRule="auto"/>
              <w:jc w:val="center"/>
              <w:rPr>
                <w:rFonts w:ascii="仿宋_GB2312" w:hAnsi="Times New Roman" w:eastAsia="仿宋_GB2312"/>
                <w:sz w:val="28"/>
                <w:szCs w:val="28"/>
              </w:rPr>
            </w:pPr>
          </w:p>
        </w:tc>
        <w:tc>
          <w:tcPr>
            <w:tcW w:w="1460" w:type="dxa"/>
            <w:vMerge w:val="continue"/>
            <w:vAlign w:val="center"/>
          </w:tcPr>
          <w:p>
            <w:pPr>
              <w:spacing w:line="360" w:lineRule="auto"/>
              <w:jc w:val="center"/>
              <w:rPr>
                <w:rFonts w:ascii="仿宋_GB2312" w:hAnsi="Times New Roman" w:eastAsia="仿宋_GB2312"/>
                <w:sz w:val="28"/>
                <w:szCs w:val="28"/>
              </w:rPr>
            </w:pP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30-60</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冬季采暖</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3</w:t>
            </w:r>
          </w:p>
        </w:tc>
        <w:tc>
          <w:tcPr>
            <w:tcW w:w="1460" w:type="dxa"/>
            <w:vMerge w:val="restart"/>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空气流速</w:t>
            </w: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m/s</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0.3</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夏季空调</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1459" w:type="dxa"/>
            <w:vMerge w:val="continue"/>
            <w:vAlign w:val="center"/>
          </w:tcPr>
          <w:p>
            <w:pPr>
              <w:spacing w:line="360" w:lineRule="auto"/>
              <w:jc w:val="center"/>
              <w:rPr>
                <w:rFonts w:ascii="仿宋_GB2312" w:hAnsi="Times New Roman" w:eastAsia="仿宋_GB2312"/>
                <w:sz w:val="28"/>
                <w:szCs w:val="28"/>
              </w:rPr>
            </w:pPr>
          </w:p>
        </w:tc>
        <w:tc>
          <w:tcPr>
            <w:tcW w:w="1460" w:type="dxa"/>
            <w:vMerge w:val="continue"/>
            <w:vAlign w:val="center"/>
          </w:tcPr>
          <w:p>
            <w:pPr>
              <w:spacing w:line="360" w:lineRule="auto"/>
              <w:jc w:val="center"/>
              <w:rPr>
                <w:rFonts w:ascii="仿宋_GB2312" w:hAnsi="Times New Roman" w:eastAsia="仿宋_GB2312"/>
                <w:sz w:val="28"/>
                <w:szCs w:val="28"/>
              </w:rPr>
            </w:pPr>
          </w:p>
        </w:tc>
        <w:tc>
          <w:tcPr>
            <w:tcW w:w="1460"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m/s</w:t>
            </w:r>
          </w:p>
        </w:tc>
        <w:tc>
          <w:tcPr>
            <w:tcW w:w="1476"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0.2</w:t>
            </w:r>
          </w:p>
        </w:tc>
        <w:tc>
          <w:tcPr>
            <w:tcW w:w="1461" w:type="dxa"/>
            <w:vAlign w:val="center"/>
          </w:tcPr>
          <w:p>
            <w:pPr>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冬季采暖</w:t>
            </w:r>
          </w:p>
        </w:tc>
      </w:tr>
    </w:tbl>
    <w:p>
      <w:pPr>
        <w:spacing w:line="360" w:lineRule="auto"/>
        <w:ind w:firstLine="560" w:firstLineChars="200"/>
        <w:rPr>
          <w:rFonts w:ascii="仿宋_GB2312" w:hAnsi="Times New Roman" w:eastAsia="仿宋_GB2312"/>
          <w:sz w:val="28"/>
          <w:szCs w:val="28"/>
        </w:rPr>
      </w:pPr>
      <w:r>
        <w:rPr>
          <w:rFonts w:hint="eastAsia" w:ascii="仿宋_GB2312" w:hAnsi="Times New Roman" w:eastAsia="仿宋_GB2312"/>
          <w:sz w:val="28"/>
          <w:szCs w:val="28"/>
        </w:rPr>
        <w:t>（2）噪声指标</w:t>
      </w:r>
    </w:p>
    <w:tbl>
      <w:tblPr>
        <w:tblStyle w:val="4"/>
        <w:tblW w:w="7946" w:type="dxa"/>
        <w:jc w:val="center"/>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87"/>
        <w:gridCol w:w="2559"/>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房间类型</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噪声级别要求</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有睡眠要求的主要功能房间</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≤37dB(A)</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集中精力、提高工作效率的功能房间</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≤40dB(A)</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通过自然声进行语言交流的场所</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≤45dB(A)</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jc w:val="center"/>
        </w:trPr>
        <w:tc>
          <w:tcPr>
            <w:tcW w:w="5387"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通过扩声系统传输语音信息的场所</w:t>
            </w:r>
          </w:p>
        </w:tc>
        <w:tc>
          <w:tcPr>
            <w:tcW w:w="2559" w:type="dxa"/>
            <w:vAlign w:val="center"/>
          </w:tcPr>
          <w:p>
            <w:pPr>
              <w:spacing w:line="360" w:lineRule="auto"/>
              <w:ind w:firstLine="560" w:firstLineChars="200"/>
              <w:jc w:val="center"/>
              <w:rPr>
                <w:rFonts w:ascii="仿宋_GB2312" w:hAnsi="Times New Roman" w:eastAsia="仿宋_GB2312"/>
                <w:sz w:val="28"/>
                <w:szCs w:val="28"/>
              </w:rPr>
            </w:pPr>
            <w:r>
              <w:rPr>
                <w:rFonts w:hint="eastAsia" w:ascii="仿宋_GB2312" w:hAnsi="Times New Roman" w:eastAsia="仿宋_GB2312"/>
                <w:sz w:val="28"/>
                <w:szCs w:val="28"/>
              </w:rPr>
              <w:t>≤50dB(A)</w:t>
            </w:r>
          </w:p>
        </w:tc>
      </w:tr>
    </w:tbl>
    <w:p>
      <w:pPr>
        <w:spacing w:line="360" w:lineRule="auto"/>
        <w:ind w:firstLine="560" w:firstLineChars="200"/>
        <w:rPr>
          <w:rFonts w:ascii="仿宋_GB2312" w:hAnsi="Times New Roman" w:eastAsia="仿宋_GB2312"/>
          <w:sz w:val="28"/>
          <w:szCs w:val="28"/>
        </w:rPr>
      </w:pPr>
      <w:r>
        <w:rPr>
          <w:rFonts w:hint="eastAsia" w:ascii="仿宋_GB2312" w:hAnsi="Times New Roman" w:eastAsia="仿宋_GB2312"/>
          <w:sz w:val="28"/>
          <w:szCs w:val="28"/>
        </w:rPr>
        <w:t>（3）照明指标</w:t>
      </w:r>
    </w:p>
    <w:p>
      <w:pPr>
        <w:spacing w:line="360" w:lineRule="auto"/>
        <w:ind w:firstLine="560" w:firstLineChars="200"/>
        <w:rPr>
          <w:rFonts w:ascii="仿宋_GB2312" w:hAnsi="Times New Roman" w:eastAsia="仿宋_GB2312"/>
          <w:sz w:val="28"/>
          <w:szCs w:val="28"/>
        </w:rPr>
      </w:pPr>
      <w:r>
        <w:rPr>
          <w:rFonts w:hint="eastAsia" w:ascii="仿宋_GB2312" w:hAnsi="Times New Roman" w:eastAsia="仿宋_GB2312"/>
          <w:sz w:val="28"/>
          <w:szCs w:val="28"/>
        </w:rPr>
        <w:t>室内人员长时间停留场所，其光源色温不应高于4000K，墙面的平均照顾不应低于50Lx、顶棚的平均照度不应低于50Lx。</w:t>
      </w:r>
    </w:p>
    <w:p>
      <w:pPr>
        <w:snapToGrid w:val="0"/>
        <w:spacing w:line="360" w:lineRule="auto"/>
        <w:rPr>
          <w:rFonts w:ascii="仿宋_GB2312" w:eastAsia="仿宋_GB2312"/>
          <w:b/>
          <w:bCs/>
          <w:sz w:val="28"/>
          <w:szCs w:val="28"/>
        </w:rPr>
      </w:pPr>
      <w:r>
        <w:rPr>
          <w:rFonts w:hint="eastAsia" w:ascii="仿宋_GB2312" w:eastAsia="仿宋_GB2312"/>
          <w:b/>
          <w:bCs/>
          <w:sz w:val="28"/>
          <w:szCs w:val="28"/>
        </w:rPr>
        <w:t>三、效益分析</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1、健康建筑单位面积成本和增量成本；</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2、创新点和亮点：关键技术、模式创新等。</w:t>
      </w:r>
    </w:p>
    <w:p>
      <w:pPr>
        <w:spacing w:line="360" w:lineRule="auto"/>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中国好建筑—健康建筑评价表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281"/>
        <w:gridCol w:w="206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能耗诊断和统计信息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建筑年人均能耗（kw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000" w:type="pct"/>
            <w:gridSpan w:val="4"/>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健康建筑技术创新点和解决方案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gridSpan w:val="4"/>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（综合考虑健康建筑的技术创新方案，包括冷热舒适、新风、空气质量、光、声等室内环境优质解决方案）</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健康建筑运行效果（测试面积不少于总面积1</w:t>
            </w:r>
            <w:r>
              <w:rPr>
                <w:rFonts w:ascii="Times New Roman" w:hAnsi="Times New Roman" w:eastAsia="黑体" w:cs="Times New Roman"/>
                <w:sz w:val="24"/>
                <w:szCs w:val="24"/>
              </w:rPr>
              <w:t>0%</w:t>
            </w:r>
            <w:r>
              <w:rPr>
                <w:rFonts w:hint="eastAsia" w:ascii="Times New Roman" w:hAnsi="Times New Roman" w:eastAsia="黑体" w:cs="Times New Roman"/>
                <w:sz w:val="24"/>
                <w:szCs w:val="24"/>
              </w:rPr>
              <w:t>）</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002"/>
        <w:gridCol w:w="979"/>
        <w:gridCol w:w="826"/>
        <w:gridCol w:w="1130"/>
        <w:gridCol w:w="1134"/>
        <w:gridCol w:w="829"/>
        <w:gridCol w:w="108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64" w:type="pct"/>
            <w:shd w:val="clear" w:color="auto" w:fill="auto"/>
            <w:vAlign w:val="center"/>
          </w:tcPr>
          <w:p>
            <w:pPr>
              <w:rPr>
                <w:rFonts w:ascii="黑体" w:hAnsi="黑体" w:eastAsia="黑体"/>
                <w:sz w:val="18"/>
                <w:szCs w:val="18"/>
              </w:rPr>
            </w:pPr>
          </w:p>
        </w:tc>
        <w:tc>
          <w:tcPr>
            <w:tcW w:w="570"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温度</w:t>
            </w:r>
          </w:p>
        </w:tc>
        <w:tc>
          <w:tcPr>
            <w:tcW w:w="557"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湿度</w:t>
            </w:r>
          </w:p>
        </w:tc>
        <w:tc>
          <w:tcPr>
            <w:tcW w:w="470" w:type="pct"/>
            <w:shd w:val="clear" w:color="auto" w:fill="auto"/>
            <w:vAlign w:val="center"/>
          </w:tcPr>
          <w:p>
            <w:pPr>
              <w:rPr>
                <w:rFonts w:ascii="黑体" w:hAnsi="黑体" w:eastAsia="黑体"/>
                <w:b/>
                <w:sz w:val="18"/>
                <w:szCs w:val="18"/>
              </w:rPr>
            </w:pPr>
            <w:r>
              <w:rPr>
                <w:rFonts w:hint="eastAsia" w:ascii="黑体" w:hAnsi="黑体" w:eastAsia="黑体"/>
                <w:b/>
                <w:sz w:val="18"/>
                <w:szCs w:val="18"/>
              </w:rPr>
              <w:t>新风量</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CO</w:t>
            </w:r>
            <w:r>
              <w:rPr>
                <w:rFonts w:ascii="黑体" w:hAnsi="黑体" w:eastAsia="黑体"/>
                <w:b/>
                <w:sz w:val="18"/>
                <w:szCs w:val="18"/>
                <w:vertAlign w:val="subscript"/>
              </w:rPr>
              <w:t>2</w:t>
            </w:r>
            <w:r>
              <w:rPr>
                <w:rFonts w:hint="eastAsia" w:ascii="黑体" w:hAnsi="黑体" w:eastAsia="黑体"/>
                <w:b/>
                <w:sz w:val="18"/>
                <w:szCs w:val="18"/>
              </w:rPr>
              <w:t>浓度</w:t>
            </w:r>
          </w:p>
        </w:tc>
        <w:tc>
          <w:tcPr>
            <w:tcW w:w="645"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噪声</w:t>
            </w:r>
          </w:p>
        </w:tc>
        <w:tc>
          <w:tcPr>
            <w:tcW w:w="472"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光照度</w:t>
            </w:r>
          </w:p>
        </w:tc>
        <w:tc>
          <w:tcPr>
            <w:tcW w:w="618"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其他1</w:t>
            </w:r>
          </w:p>
        </w:tc>
        <w:tc>
          <w:tcPr>
            <w:tcW w:w="461"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测点1</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w:t>
            </w:r>
            <w:r>
              <w:rPr>
                <w:rFonts w:ascii="黑体" w:hAnsi="黑体" w:eastAsia="黑体"/>
                <w:sz w:val="18"/>
                <w:szCs w:val="18"/>
              </w:rPr>
              <w:t>2</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测点3</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测点4</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测点5</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测点6</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测点7</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测点8</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测点9</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测点1</w:t>
            </w:r>
            <w:r>
              <w:rPr>
                <w:rFonts w:ascii="黑体" w:hAnsi="黑体" w:eastAsia="黑体"/>
                <w:sz w:val="18"/>
                <w:szCs w:val="18"/>
              </w:rPr>
              <w:t>0</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bl>
    <w:p>
      <w:pPr>
        <w:rPr>
          <w:rFonts w:hint="eastAsia"/>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r>
        <w:rPr>
          <w:rFonts w:hint="eastAsia" w:ascii="仿宋" w:hAnsi="仿宋" w:eastAsia="仿宋" w:cs="仿宋"/>
          <w:b/>
          <w:bCs/>
          <w:spacing w:val="14"/>
          <w:w w:val="102"/>
          <w:sz w:val="36"/>
          <w:szCs w:val="36"/>
          <w:lang w:val="en-US" w:eastAsia="zh-CN"/>
        </w:rPr>
        <w:t>附件5：“中国好建筑”—超低能耗或近零能耗建筑评价细则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二、超低能耗或近零能耗建筑建建筑评价</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1、保温隔热性能更高的非透明围护结构；</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2、保温隔热性能和气密性能更高的外窗；</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3、无热桥的设计与施工；</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4、建筑整体的高气密性；</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5、高效新风热回收；</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6、充分利用可再生能源。</w:t>
      </w:r>
    </w:p>
    <w:p>
      <w:pPr>
        <w:snapToGrid w:val="0"/>
        <w:spacing w:line="360" w:lineRule="auto"/>
        <w:ind w:left="560"/>
        <w:rPr>
          <w:rFonts w:ascii="仿宋_GB2312" w:eastAsia="仿宋_GB2312"/>
          <w:b/>
          <w:bCs/>
          <w:sz w:val="28"/>
          <w:szCs w:val="32"/>
        </w:rPr>
      </w:pPr>
      <w:r>
        <w:rPr>
          <w:rFonts w:hint="eastAsia" w:ascii="仿宋_GB2312" w:eastAsia="仿宋_GB2312"/>
          <w:b/>
          <w:bCs/>
          <w:sz w:val="28"/>
          <w:szCs w:val="32"/>
        </w:rPr>
        <w:t>三、效益分析</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1、超低能耗或近零能耗建筑建单位面积成本、增量成本。</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2</w:t>
      </w:r>
      <w:r>
        <w:rPr>
          <w:rFonts w:hint="eastAsia" w:ascii="仿宋_GB2312" w:eastAsia="仿宋_GB2312"/>
          <w:sz w:val="28"/>
          <w:szCs w:val="32"/>
        </w:rPr>
        <w:t>、创新点和亮点：关键技术、模式创新等。</w:t>
      </w:r>
    </w:p>
    <w:p>
      <w:pPr>
        <w:snapToGrid w:val="0"/>
        <w:spacing w:line="360" w:lineRule="auto"/>
        <w:ind w:left="560"/>
        <w:rPr>
          <w:rFonts w:ascii="仿宋_GB2312" w:eastAsia="仿宋_GB2312"/>
          <w:b/>
          <w:bCs/>
          <w:sz w:val="28"/>
          <w:szCs w:val="32"/>
        </w:rPr>
      </w:pPr>
    </w:p>
    <w:p>
      <w:pPr>
        <w:snapToGrid w:val="0"/>
        <w:spacing w:line="360" w:lineRule="auto"/>
        <w:ind w:left="56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napToGrid w:val="0"/>
        <w:spacing w:line="360" w:lineRule="auto"/>
        <w:ind w:firstLine="560" w:firstLineChars="200"/>
        <w:rPr>
          <w:rFonts w:ascii="仿宋_GB2312" w:eastAsia="仿宋_GB2312"/>
          <w:sz w:val="28"/>
          <w:szCs w:val="32"/>
        </w:rPr>
      </w:pPr>
    </w:p>
    <w:p>
      <w:pPr>
        <w:spacing w:before="156" w:beforeLines="50" w:after="156" w:afterLines="50"/>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中国好建筑—超低能耗或近零能耗建筑评价表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281"/>
        <w:gridCol w:w="206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能耗诊断和统计信息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建筑年人均能耗（kw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可再生能源类型</w:t>
            </w:r>
          </w:p>
        </w:tc>
        <w:tc>
          <w:tcPr>
            <w:tcW w:w="1296" w:type="pc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可再生能源应用比例（%）</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超低能耗或近零能耗建筑创新点和解决方案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（综合考虑超低能耗或近零能耗建筑的技术创新方案，包括建筑总体规划设计、围护结构、用能系统、可再生能源、无热桥施工技术等）</w:t>
            </w: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ascii="Times New Roman" w:hAnsi="Times New Roman" w:eastAsia="黑体" w:cs="Times New Roman"/>
                <w:sz w:val="24"/>
                <w:szCs w:val="24"/>
              </w:rPr>
            </w:pPr>
          </w:p>
          <w:p>
            <w:pPr>
              <w:rPr>
                <w:rFonts w:hint="eastAsia" w:ascii="Times New Roman" w:hAnsi="Times New Roman" w:eastAsia="黑体" w:cs="Times New Roman"/>
                <w:sz w:val="24"/>
                <w:szCs w:val="24"/>
              </w:rPr>
            </w:pPr>
          </w:p>
          <w:p>
            <w:pPr>
              <w:rPr>
                <w:rFonts w:ascii="Times New Roman" w:hAnsi="Times New Roman" w:eastAsia="黑体" w:cs="Times New Roman"/>
                <w:sz w:val="24"/>
                <w:szCs w:val="24"/>
              </w:rPr>
            </w:pPr>
          </w:p>
          <w:p>
            <w:pPr>
              <w:rPr>
                <w:rFonts w:hint="eastAsia"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spacing w:line="500" w:lineRule="exact"/>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建筑用能运行数据（改造前）—2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172"/>
        <w:gridCol w:w="979"/>
        <w:gridCol w:w="826"/>
        <w:gridCol w:w="1130"/>
        <w:gridCol w:w="1134"/>
        <w:gridCol w:w="829"/>
        <w:gridCol w:w="108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超低能耗建筑运行状态（测试面积不少于总面积1</w:t>
            </w:r>
            <w:r>
              <w:rPr>
                <w:rFonts w:ascii="Times New Roman" w:hAnsi="Times New Roman" w:eastAsia="黑体" w:cs="Times New Roman"/>
                <w:sz w:val="24"/>
                <w:szCs w:val="24"/>
              </w:rPr>
              <w:t>0%</w:t>
            </w:r>
            <w:r>
              <w:rPr>
                <w:rFonts w:hint="eastAsia" w:ascii="Times New Roman" w:hAnsi="Times New Roman" w:eastAsia="黑体" w:cs="Times New Roman"/>
                <w:sz w:val="24"/>
                <w:szCs w:val="24"/>
              </w:rPr>
              <w:t>）</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002"/>
        <w:gridCol w:w="979"/>
        <w:gridCol w:w="826"/>
        <w:gridCol w:w="1130"/>
        <w:gridCol w:w="1134"/>
        <w:gridCol w:w="829"/>
        <w:gridCol w:w="108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64" w:type="pct"/>
            <w:shd w:val="clear" w:color="auto" w:fill="auto"/>
            <w:vAlign w:val="center"/>
          </w:tcPr>
          <w:p>
            <w:pPr>
              <w:rPr>
                <w:rFonts w:ascii="黑体" w:hAnsi="黑体" w:eastAsia="黑体"/>
                <w:sz w:val="18"/>
                <w:szCs w:val="18"/>
              </w:rPr>
            </w:pPr>
          </w:p>
        </w:tc>
        <w:tc>
          <w:tcPr>
            <w:tcW w:w="570"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温度</w:t>
            </w:r>
          </w:p>
        </w:tc>
        <w:tc>
          <w:tcPr>
            <w:tcW w:w="557"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湿度</w:t>
            </w:r>
          </w:p>
        </w:tc>
        <w:tc>
          <w:tcPr>
            <w:tcW w:w="470" w:type="pct"/>
            <w:shd w:val="clear" w:color="auto" w:fill="auto"/>
            <w:vAlign w:val="center"/>
          </w:tcPr>
          <w:p>
            <w:pPr>
              <w:rPr>
                <w:rFonts w:ascii="黑体" w:hAnsi="黑体" w:eastAsia="黑体"/>
                <w:b/>
                <w:sz w:val="18"/>
                <w:szCs w:val="18"/>
              </w:rPr>
            </w:pPr>
            <w:r>
              <w:rPr>
                <w:rFonts w:hint="eastAsia" w:ascii="黑体" w:hAnsi="黑体" w:eastAsia="黑体"/>
                <w:b/>
                <w:sz w:val="18"/>
                <w:szCs w:val="18"/>
              </w:rPr>
              <w:t>新风量</w:t>
            </w:r>
          </w:p>
        </w:tc>
        <w:tc>
          <w:tcPr>
            <w:tcW w:w="643"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隔声</w:t>
            </w:r>
          </w:p>
        </w:tc>
        <w:tc>
          <w:tcPr>
            <w:tcW w:w="645"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气密性</w:t>
            </w:r>
          </w:p>
        </w:tc>
        <w:tc>
          <w:tcPr>
            <w:tcW w:w="472"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其他1</w:t>
            </w:r>
          </w:p>
        </w:tc>
        <w:tc>
          <w:tcPr>
            <w:tcW w:w="618"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w:t>
            </w:r>
            <w:r>
              <w:rPr>
                <w:rFonts w:ascii="黑体" w:hAnsi="黑体" w:eastAsia="黑体"/>
                <w:b/>
                <w:sz w:val="18"/>
                <w:szCs w:val="18"/>
              </w:rPr>
              <w:t>2</w:t>
            </w:r>
          </w:p>
        </w:tc>
        <w:tc>
          <w:tcPr>
            <w:tcW w:w="461" w:type="pct"/>
            <w:shd w:val="clear" w:color="auto" w:fill="auto"/>
            <w:vAlign w:val="center"/>
          </w:tcPr>
          <w:p>
            <w:pPr>
              <w:jc w:val="center"/>
              <w:rPr>
                <w:rFonts w:ascii="黑体" w:hAnsi="黑体" w:eastAsia="黑体"/>
                <w:b/>
                <w:sz w:val="18"/>
                <w:szCs w:val="18"/>
              </w:rPr>
            </w:pPr>
            <w:r>
              <w:rPr>
                <w:rFonts w:hint="eastAsia" w:ascii="黑体" w:hAnsi="黑体" w:eastAsia="黑体"/>
                <w:b/>
                <w:sz w:val="18"/>
                <w:szCs w:val="18"/>
              </w:rPr>
              <w:t>其他</w:t>
            </w:r>
            <w:r>
              <w:rPr>
                <w:rFonts w:ascii="黑体" w:hAnsi="黑体" w:eastAsia="黑体"/>
                <w:b/>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测点1</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w:t>
            </w:r>
            <w:r>
              <w:rPr>
                <w:rFonts w:ascii="黑体" w:hAnsi="黑体" w:eastAsia="黑体"/>
                <w:sz w:val="18"/>
                <w:szCs w:val="18"/>
              </w:rPr>
              <w:t>2</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测点3</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测点4</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测点5</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测点6</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测点7</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测点8</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测点9</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jc w:val="center"/>
              <w:rPr>
                <w:rFonts w:ascii="黑体" w:hAnsi="黑体" w:eastAsia="黑体"/>
                <w:sz w:val="18"/>
                <w:szCs w:val="18"/>
              </w:rPr>
            </w:pPr>
            <w:r>
              <w:rPr>
                <w:rFonts w:hint="eastAsia" w:ascii="黑体" w:hAnsi="黑体" w:eastAsia="黑体"/>
                <w:sz w:val="18"/>
                <w:szCs w:val="18"/>
              </w:rPr>
              <w:t>测点1</w:t>
            </w:r>
            <w:r>
              <w:rPr>
                <w:rFonts w:ascii="黑体" w:hAnsi="黑体" w:eastAsia="黑体"/>
                <w:sz w:val="18"/>
                <w:szCs w:val="18"/>
              </w:rPr>
              <w:t>0</w:t>
            </w:r>
          </w:p>
        </w:tc>
        <w:tc>
          <w:tcPr>
            <w:tcW w:w="570"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1" w:type="pct"/>
            <w:shd w:val="clear" w:color="auto" w:fill="auto"/>
            <w:vAlign w:val="center"/>
          </w:tcPr>
          <w:p>
            <w:pPr>
              <w:jc w:val="center"/>
              <w:rPr>
                <w:rFonts w:ascii="黑体" w:hAnsi="黑体" w:eastAsia="黑体"/>
                <w:sz w:val="18"/>
                <w:szCs w:val="18"/>
              </w:rPr>
            </w:pPr>
          </w:p>
        </w:tc>
      </w:tr>
    </w:tbl>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textAlignment w:val="baseline"/>
        <w:rPr>
          <w:rFonts w:hint="eastAsia" w:ascii="仿宋" w:hAnsi="仿宋" w:eastAsia="仿宋" w:cs="仿宋"/>
          <w:b/>
          <w:bCs/>
          <w:spacing w:val="14"/>
          <w:w w:val="102"/>
          <w:sz w:val="36"/>
          <w:szCs w:val="36"/>
          <w:lang w:val="en-US" w:eastAsia="zh-CN"/>
        </w:rPr>
      </w:pPr>
      <w:r>
        <w:rPr>
          <w:rFonts w:hint="eastAsia" w:ascii="仿宋" w:hAnsi="仿宋" w:eastAsia="仿宋" w:cs="仿宋"/>
          <w:b/>
          <w:bCs/>
          <w:spacing w:val="14"/>
          <w:w w:val="102"/>
          <w:sz w:val="36"/>
          <w:szCs w:val="36"/>
          <w:lang w:val="en-US" w:eastAsia="zh-CN"/>
        </w:rPr>
        <w:t>附件6 ：“中国好建筑”—老旧小区建筑改造能效提升评价细则</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一</w:t>
      </w:r>
      <w:r>
        <w:rPr>
          <w:rFonts w:ascii="仿宋_GB2312" w:eastAsia="仿宋_GB2312"/>
          <w:b/>
          <w:bCs/>
          <w:sz w:val="28"/>
          <w:szCs w:val="32"/>
        </w:rPr>
        <w:t>、</w:t>
      </w:r>
      <w:r>
        <w:rPr>
          <w:rFonts w:hint="eastAsia" w:ascii="仿宋_GB2312" w:eastAsia="仿宋_GB2312"/>
          <w:b/>
          <w:bCs/>
          <w:sz w:val="28"/>
          <w:szCs w:val="32"/>
        </w:rPr>
        <w:t>项目基本情况</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1、申报单位基本信息：申报单位名称、联系人、联系方式</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2、申报建筑信息：设计单位、施工单位、运行单位、改造单位。</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3、建筑基础信息：建筑名称、详细地址、建筑类型、竣工时间、建筑层数及面积、建筑使用功能分布等。</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二、能耗诊断和统计信息</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1、节能诊断分析：分析改造前1</w:t>
      </w:r>
      <w:r>
        <w:rPr>
          <w:rFonts w:ascii="仿宋_GB2312" w:eastAsia="仿宋_GB2312"/>
          <w:sz w:val="28"/>
          <w:szCs w:val="32"/>
        </w:rPr>
        <w:t>-3</w:t>
      </w:r>
      <w:r>
        <w:rPr>
          <w:rFonts w:hint="eastAsia" w:ascii="仿宋_GB2312" w:eastAsia="仿宋_GB2312"/>
          <w:sz w:val="28"/>
          <w:szCs w:val="32"/>
        </w:rPr>
        <w:t>年项目的总能耗，单位面积能耗、单位人居能耗。分析改造后项目的总能耗，单位面积能耗、单位人居能耗。</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2</w:t>
      </w:r>
      <w:r>
        <w:rPr>
          <w:rFonts w:hint="eastAsia" w:ascii="仿宋_GB2312" w:eastAsia="仿宋_GB2312"/>
          <w:sz w:val="28"/>
          <w:szCs w:val="32"/>
        </w:rPr>
        <w:t>、能耗分析：分析建筑节能量和节能率。</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三、能效提升主要内容和方案</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1、节能改造内容和方案：节能改造目标，用能设备系统节能改造的详细内容、围护结构节能改造的详细内容，节能改造的综合性解决方案和关键技术。</w:t>
      </w:r>
    </w:p>
    <w:p>
      <w:pPr>
        <w:snapToGrid w:val="0"/>
        <w:spacing w:line="360" w:lineRule="auto"/>
        <w:ind w:firstLine="562" w:firstLineChars="200"/>
        <w:rPr>
          <w:rFonts w:ascii="仿宋_GB2312" w:eastAsia="仿宋_GB2312"/>
          <w:b/>
          <w:bCs/>
          <w:sz w:val="28"/>
          <w:szCs w:val="32"/>
        </w:rPr>
      </w:pPr>
      <w:r>
        <w:rPr>
          <w:rFonts w:hint="eastAsia" w:ascii="仿宋_GB2312" w:eastAsia="仿宋_GB2312"/>
          <w:b/>
          <w:bCs/>
          <w:sz w:val="28"/>
          <w:szCs w:val="32"/>
        </w:rPr>
        <w:t>四、经济效益分析</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1、单项节能量分析：分析改造的单项建筑用能系统的节能率；</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2、整体节能效果分析：分析建筑整体节能效果；</w:t>
      </w:r>
    </w:p>
    <w:p>
      <w:pPr>
        <w:snapToGrid w:val="0"/>
        <w:spacing w:line="360" w:lineRule="auto"/>
        <w:ind w:firstLine="560" w:firstLineChars="200"/>
        <w:rPr>
          <w:rFonts w:ascii="仿宋_GB2312" w:eastAsia="仿宋_GB2312"/>
          <w:sz w:val="28"/>
          <w:szCs w:val="32"/>
        </w:rPr>
      </w:pPr>
      <w:r>
        <w:rPr>
          <w:rFonts w:hint="eastAsia" w:ascii="仿宋_GB2312" w:eastAsia="仿宋_GB2312"/>
          <w:sz w:val="28"/>
          <w:szCs w:val="32"/>
        </w:rPr>
        <w:t>3、节能改造投资分析：节能改造投资回收方式、节能能源费用及投资回收期；</w:t>
      </w:r>
    </w:p>
    <w:p>
      <w:pPr>
        <w:snapToGrid w:val="0"/>
        <w:spacing w:line="360" w:lineRule="auto"/>
        <w:ind w:firstLine="560" w:firstLineChars="200"/>
        <w:rPr>
          <w:rFonts w:ascii="仿宋_GB2312" w:eastAsia="仿宋_GB2312"/>
          <w:sz w:val="28"/>
          <w:szCs w:val="32"/>
        </w:rPr>
      </w:pPr>
      <w:r>
        <w:rPr>
          <w:rFonts w:ascii="仿宋_GB2312" w:eastAsia="仿宋_GB2312"/>
          <w:sz w:val="28"/>
          <w:szCs w:val="32"/>
        </w:rPr>
        <w:t>4</w:t>
      </w:r>
      <w:r>
        <w:rPr>
          <w:rFonts w:hint="eastAsia" w:ascii="仿宋_GB2312" w:eastAsia="仿宋_GB2312"/>
          <w:sz w:val="28"/>
          <w:szCs w:val="32"/>
        </w:rPr>
        <w:t>、创新点和亮点：关键技术、模式创新等。</w:t>
      </w:r>
    </w:p>
    <w:p>
      <w:pPr>
        <w:snapToGrid w:val="0"/>
        <w:spacing w:line="360" w:lineRule="auto"/>
        <w:ind w:firstLine="560" w:firstLineChars="200"/>
        <w:rPr>
          <w:rFonts w:ascii="仿宋_GB2312" w:eastAsia="仿宋_GB2312"/>
          <w:sz w:val="28"/>
          <w:szCs w:val="32"/>
        </w:rPr>
      </w:pPr>
    </w:p>
    <w:p>
      <w:pPr>
        <w:spacing w:line="360" w:lineRule="auto"/>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中国好建筑—“</w:t>
      </w:r>
      <w:r>
        <w:rPr>
          <w:rFonts w:hint="eastAsia" w:ascii="方正小标宋简体" w:eastAsia="方正小标宋简体"/>
          <w:sz w:val="32"/>
          <w:szCs w:val="32"/>
        </w:rPr>
        <w:t>老旧小区改造”</w:t>
      </w:r>
      <w:r>
        <w:rPr>
          <w:rFonts w:hint="eastAsia" w:ascii="Times New Roman" w:hAnsi="Times New Roman" w:eastAsia="黑体" w:cs="Times New Roman"/>
          <w:sz w:val="32"/>
          <w:szCs w:val="32"/>
        </w:rPr>
        <w:t>”能效提升评价表</w:t>
      </w:r>
    </w:p>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281"/>
        <w:gridCol w:w="206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能耗诊断和统计信息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改造前单位面积能耗（kw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restar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改造后综合能耗（k</w:t>
            </w:r>
            <w:r>
              <w:rPr>
                <w:rFonts w:ascii="Times New Roman" w:hAnsi="Times New Roman" w:eastAsia="黑体" w:cs="Times New Roman"/>
                <w:sz w:val="24"/>
                <w:szCs w:val="24"/>
              </w:rPr>
              <w:t>wh</w:t>
            </w:r>
            <w:r>
              <w:rPr>
                <w:rFonts w:hint="eastAsia" w:ascii="Times New Roman" w:hAnsi="Times New Roman" w:eastAsia="黑体" w:cs="Times New Roman"/>
                <w:sz w:val="24"/>
                <w:szCs w:val="24"/>
              </w:rPr>
              <w:t>）</w:t>
            </w:r>
          </w:p>
        </w:tc>
        <w:tc>
          <w:tcPr>
            <w:tcW w:w="1296" w:type="pct"/>
            <w:vMerge w:val="restar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/m</w:t>
            </w:r>
            <w:r>
              <w:rPr>
                <w:rFonts w:ascii="Times New Roman" w:hAnsi="Times New Roman" w:eastAsia="黑体" w:cs="Times New Roman"/>
                <w:sz w:val="24"/>
                <w:szCs w:val="24"/>
                <w:vertAlign w:val="superscript"/>
              </w:rPr>
              <w:t>2</w:t>
            </w:r>
            <w:r>
              <w:rPr>
                <w:rFonts w:hint="eastAsia" w:ascii="Times New Roman" w:hAnsi="Times New Roman" w:eastAsia="黑体" w:cs="Times New Roman"/>
                <w:sz w:val="24"/>
                <w:szCs w:val="24"/>
              </w:rPr>
              <w:t>）</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Merge w:val="continue"/>
            <w:vAlign w:val="center"/>
          </w:tcPr>
          <w:p>
            <w:pPr>
              <w:jc w:val="center"/>
              <w:rPr>
                <w:rFonts w:ascii="Times New Roman" w:hAnsi="Times New Roman" w:eastAsia="黑体" w:cs="Times New Roman"/>
                <w:sz w:val="24"/>
                <w:szCs w:val="24"/>
              </w:rPr>
            </w:pPr>
          </w:p>
        </w:tc>
        <w:tc>
          <w:tcPr>
            <w:tcW w:w="1296" w:type="pct"/>
            <w:vMerge w:val="continue"/>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改造后单位面积能耗（kw</w:t>
            </w:r>
            <w:r>
              <w:rPr>
                <w:rFonts w:ascii="Times New Roman" w:hAnsi="Times New Roman" w:eastAsia="黑体" w:cs="Times New Roman"/>
                <w:sz w:val="24"/>
                <w:szCs w:val="24"/>
              </w:rPr>
              <w:t>h</w:t>
            </w:r>
            <w:r>
              <w:rPr>
                <w:rFonts w:hint="eastAsia" w:ascii="Times New Roman" w:hAnsi="Times New Roman" w:eastAsia="黑体" w:cs="Times New Roman"/>
                <w:sz w:val="24"/>
                <w:szCs w:val="24"/>
              </w:rPr>
              <w:t>/人）</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节能量</w:t>
            </w:r>
          </w:p>
        </w:tc>
        <w:tc>
          <w:tcPr>
            <w:tcW w:w="1296" w:type="pct"/>
            <w:vAlign w:val="center"/>
          </w:tcPr>
          <w:p>
            <w:pPr>
              <w:jc w:val="center"/>
              <w:rPr>
                <w:rFonts w:ascii="Times New Roman" w:hAnsi="Times New Roman" w:eastAsia="黑体" w:cs="Times New Roman"/>
                <w:sz w:val="24"/>
                <w:szCs w:val="24"/>
              </w:rPr>
            </w:pPr>
          </w:p>
        </w:tc>
        <w:tc>
          <w:tcPr>
            <w:tcW w:w="1172"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节能率</w:t>
            </w:r>
          </w:p>
        </w:tc>
        <w:tc>
          <w:tcPr>
            <w:tcW w:w="1214" w:type="pct"/>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8" w:type="pct"/>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联系人和电话</w:t>
            </w:r>
          </w:p>
        </w:tc>
        <w:tc>
          <w:tcPr>
            <w:tcW w:w="3682" w:type="pct"/>
            <w:gridSpan w:val="3"/>
            <w:vAlign w:val="center"/>
          </w:tcPr>
          <w:p>
            <w:pPr>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节能改造内容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vAlign w:val="center"/>
          </w:tcPr>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节能改造内容（在以下选项中打“√”）：</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 xml:space="preserve">□围护结构                □供暖系统          □通风空调系统   </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□生活热水系统            □给排水系统        □供配电</w:t>
            </w:r>
            <w:r>
              <w:rPr>
                <w:rFonts w:hint="eastAsia" w:ascii="Times New Roman" w:hAnsi="Times New Roman" w:eastAsia="黑体" w:cs="Times New Roman"/>
                <w:sz w:val="24"/>
                <w:szCs w:val="24"/>
              </w:rPr>
              <w:t>、照明</w:t>
            </w:r>
            <w:r>
              <w:rPr>
                <w:rFonts w:ascii="Times New Roman" w:hAnsi="Times New Roman" w:eastAsia="黑体" w:cs="Times New Roman"/>
                <w:sz w:val="24"/>
                <w:szCs w:val="24"/>
              </w:rPr>
              <w:t>系统</w:t>
            </w:r>
          </w:p>
          <w:p>
            <w:pPr>
              <w:spacing w:line="360" w:lineRule="auto"/>
              <w:jc w:val="left"/>
              <w:rPr>
                <w:rFonts w:ascii="Times New Roman" w:hAnsi="Times New Roman" w:eastAsia="黑体" w:cs="Times New Roman"/>
                <w:sz w:val="24"/>
                <w:szCs w:val="24"/>
              </w:rPr>
            </w:pPr>
            <w:r>
              <w:rPr>
                <w:rFonts w:ascii="Times New Roman" w:hAnsi="Times New Roman" w:eastAsia="黑体" w:cs="Times New Roman"/>
                <w:sz w:val="24"/>
                <w:szCs w:val="24"/>
              </w:rPr>
              <w:t>□监测与控制系统          □可再生能源利用</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□其他</w:t>
            </w:r>
            <w:r>
              <w:rPr>
                <w:rFonts w:hint="eastAsia" w:ascii="Times New Roman" w:hAnsi="Times New Roman"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A5A5A5" w:themeFill="background1" w:themeFillShade="A6"/>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节能改造方案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5000" w:type="pct"/>
            <w:gridSpan w:val="4"/>
            <w:vAlign w:val="center"/>
          </w:tcPr>
          <w:p>
            <w:pPr>
              <w:rPr>
                <w:rFonts w:ascii="Times New Roman" w:hAnsi="Times New Roman" w:eastAsia="黑体" w:cs="Times New Roman"/>
                <w:sz w:val="24"/>
                <w:szCs w:val="24"/>
              </w:rPr>
            </w:pPr>
            <w:r>
              <w:rPr>
                <w:rFonts w:hint="eastAsia" w:ascii="Times New Roman" w:hAnsi="Times New Roman" w:eastAsia="黑体" w:cs="Times New Roman"/>
                <w:sz w:val="24"/>
                <w:szCs w:val="24"/>
              </w:rPr>
              <w:t>（综合考虑围护结构、机电系统、可再生能源系统、运行管理等，提出系统改造方案）</w:t>
            </w: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jc w:val="center"/>
              <w:rPr>
                <w:rFonts w:ascii="Times New Roman" w:hAnsi="Times New Roman" w:eastAsia="黑体" w:cs="Times New Roman"/>
                <w:sz w:val="24"/>
                <w:szCs w:val="24"/>
              </w:rPr>
            </w:pPr>
          </w:p>
          <w:p>
            <w:pP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建筑用能运行数据（改造前）—2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172"/>
        <w:gridCol w:w="979"/>
        <w:gridCol w:w="826"/>
        <w:gridCol w:w="1130"/>
        <w:gridCol w:w="1134"/>
        <w:gridCol w:w="829"/>
        <w:gridCol w:w="108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tbl>
      <w:tblPr>
        <w:tblStyle w:val="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shd w:val="clear" w:color="auto" w:fill="7F7F7F" w:themeFill="background1" w:themeFillShade="8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建筑用能运行数据（改造后）—2</w:t>
            </w:r>
            <w:r>
              <w:rPr>
                <w:rFonts w:ascii="Times New Roman" w:hAnsi="Times New Roman" w:eastAsia="黑体" w:cs="Times New Roman"/>
                <w:sz w:val="24"/>
                <w:szCs w:val="24"/>
              </w:rPr>
              <w:t>01X</w:t>
            </w:r>
            <w:r>
              <w:rPr>
                <w:rFonts w:hint="eastAsia" w:ascii="Times New Roman" w:hAnsi="Times New Roman" w:eastAsia="黑体" w:cs="Times New Roman"/>
                <w:sz w:val="24"/>
                <w:szCs w:val="24"/>
              </w:rPr>
              <w:t>年</w:t>
            </w:r>
          </w:p>
        </w:tc>
      </w:tr>
    </w:tbl>
    <w:tbl>
      <w:tblPr>
        <w:tblStyle w:val="3"/>
        <w:tblW w:w="51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172"/>
        <w:gridCol w:w="979"/>
        <w:gridCol w:w="826"/>
        <w:gridCol w:w="1130"/>
        <w:gridCol w:w="1134"/>
        <w:gridCol w:w="829"/>
        <w:gridCol w:w="108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4" w:type="pct"/>
            <w:vMerge w:val="restart"/>
            <w:tcBorders>
              <w:tl2br w:val="single" w:color="auto" w:sz="4" w:space="0"/>
            </w:tcBorders>
            <w:shd w:val="clear" w:color="auto" w:fill="auto"/>
            <w:vAlign w:val="center"/>
          </w:tcPr>
          <w:p>
            <w:pPr>
              <w:ind w:firstLine="181" w:firstLineChars="100"/>
              <w:jc w:val="center"/>
              <w:rPr>
                <w:rFonts w:ascii="黑体" w:hAnsi="黑体" w:eastAsia="黑体"/>
                <w:b/>
                <w:sz w:val="18"/>
                <w:szCs w:val="18"/>
              </w:rPr>
            </w:pPr>
            <w:r>
              <w:rPr>
                <w:rFonts w:ascii="黑体" w:hAnsi="黑体" w:eastAsia="黑体"/>
                <w:b/>
                <w:sz w:val="18"/>
                <w:szCs w:val="18"/>
              </w:rPr>
              <w:t>能源</w:t>
            </w:r>
          </w:p>
          <w:p>
            <w:pPr>
              <w:jc w:val="center"/>
              <w:rPr>
                <w:rFonts w:ascii="黑体" w:hAnsi="黑体" w:eastAsia="黑体"/>
                <w:b/>
                <w:sz w:val="18"/>
                <w:szCs w:val="18"/>
              </w:rPr>
            </w:pPr>
          </w:p>
          <w:p>
            <w:pPr>
              <w:jc w:val="center"/>
              <w:rPr>
                <w:rFonts w:ascii="黑体" w:hAnsi="黑体" w:eastAsia="黑体"/>
                <w:b/>
                <w:sz w:val="18"/>
                <w:szCs w:val="18"/>
              </w:rPr>
            </w:pPr>
            <w:r>
              <w:rPr>
                <w:rFonts w:ascii="黑体" w:hAnsi="黑体" w:eastAsia="黑体"/>
                <w:b/>
                <w:sz w:val="18"/>
                <w:szCs w:val="18"/>
              </w:rPr>
              <w:t>月份</w:t>
            </w:r>
          </w:p>
        </w:tc>
        <w:tc>
          <w:tcPr>
            <w:tcW w:w="66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电—外购电网</w:t>
            </w:r>
          </w:p>
        </w:tc>
        <w:tc>
          <w:tcPr>
            <w:tcW w:w="557"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外购天然气</w:t>
            </w:r>
          </w:p>
        </w:tc>
        <w:tc>
          <w:tcPr>
            <w:tcW w:w="470"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外购蒸汽</w:t>
            </w:r>
          </w:p>
        </w:tc>
        <w:tc>
          <w:tcPr>
            <w:tcW w:w="643"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外购生活热水</w:t>
            </w:r>
          </w:p>
        </w:tc>
        <w:tc>
          <w:tcPr>
            <w:tcW w:w="645"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外购采暖热量</w:t>
            </w:r>
          </w:p>
        </w:tc>
        <w:tc>
          <w:tcPr>
            <w:tcW w:w="472"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外购冷量</w:t>
            </w:r>
          </w:p>
        </w:tc>
        <w:tc>
          <w:tcPr>
            <w:tcW w:w="618" w:type="pct"/>
            <w:shd w:val="clear" w:color="auto" w:fill="E7E6E6"/>
            <w:vAlign w:val="center"/>
          </w:tcPr>
          <w:p>
            <w:pPr>
              <w:jc w:val="center"/>
              <w:rPr>
                <w:rFonts w:ascii="黑体" w:hAnsi="黑体" w:eastAsia="黑体"/>
                <w:b/>
                <w:color w:val="000000"/>
                <w:sz w:val="18"/>
                <w:szCs w:val="18"/>
              </w:rPr>
            </w:pPr>
            <w:r>
              <w:rPr>
                <w:rFonts w:ascii="黑体" w:hAnsi="黑体" w:eastAsia="黑体"/>
                <w:b/>
                <w:color w:val="000000"/>
                <w:sz w:val="18"/>
                <w:szCs w:val="18"/>
              </w:rPr>
              <w:t>太阳能发电</w:t>
            </w:r>
          </w:p>
        </w:tc>
        <w:tc>
          <w:tcPr>
            <w:tcW w:w="464" w:type="pct"/>
            <w:shd w:val="clear" w:color="auto" w:fill="E7E6E6"/>
            <w:vAlign w:val="center"/>
          </w:tcPr>
          <w:p>
            <w:pPr>
              <w:jc w:val="center"/>
              <w:rPr>
                <w:rFonts w:ascii="黑体" w:hAnsi="黑体" w:eastAsia="黑体"/>
                <w:color w:val="000000"/>
                <w:sz w:val="18"/>
                <w:szCs w:val="18"/>
              </w:rPr>
            </w:pPr>
            <w:r>
              <w:rPr>
                <w:rFonts w:ascii="黑体" w:hAnsi="黑体" w:eastAsia="黑体"/>
                <w:b/>
                <w:color w:val="000000"/>
                <w:sz w:val="18"/>
                <w:szCs w:val="18"/>
              </w:rPr>
              <w:t>其他能源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vMerge w:val="continue"/>
            <w:tcBorders>
              <w:tl2br w:val="single" w:color="auto" w:sz="4" w:space="0"/>
            </w:tcBorders>
            <w:shd w:val="clear" w:color="auto" w:fill="auto"/>
            <w:vAlign w:val="center"/>
          </w:tcPr>
          <w:p>
            <w:pPr>
              <w:jc w:val="center"/>
              <w:rPr>
                <w:rFonts w:ascii="黑体" w:hAnsi="黑体" w:eastAsia="黑体"/>
                <w:b/>
                <w:sz w:val="18"/>
                <w:szCs w:val="18"/>
              </w:rPr>
            </w:pPr>
          </w:p>
        </w:tc>
        <w:tc>
          <w:tcPr>
            <w:tcW w:w="667"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557" w:type="pct"/>
            <w:shd w:val="clear" w:color="auto" w:fill="auto"/>
            <w:vAlign w:val="center"/>
          </w:tcPr>
          <w:p>
            <w:pPr>
              <w:jc w:val="center"/>
              <w:rPr>
                <w:rFonts w:ascii="黑体" w:hAnsi="黑体" w:eastAsia="黑体"/>
                <w:b/>
                <w:sz w:val="18"/>
                <w:szCs w:val="18"/>
              </w:rPr>
            </w:pPr>
            <w:r>
              <w:rPr>
                <w:rFonts w:ascii="黑体" w:hAnsi="黑体" w:eastAsia="黑体"/>
                <w:b/>
                <w:sz w:val="18"/>
                <w:szCs w:val="18"/>
              </w:rPr>
              <w:t>(m</w:t>
            </w:r>
            <w:r>
              <w:rPr>
                <w:rFonts w:ascii="黑体" w:hAnsi="黑体" w:eastAsia="黑体"/>
                <w:b/>
                <w:sz w:val="18"/>
                <w:szCs w:val="18"/>
                <w:vertAlign w:val="superscript"/>
              </w:rPr>
              <w:t>3</w:t>
            </w:r>
            <w:r>
              <w:rPr>
                <w:rFonts w:ascii="黑体" w:hAnsi="黑体" w:eastAsia="黑体"/>
                <w:b/>
                <w:sz w:val="18"/>
                <w:szCs w:val="18"/>
              </w:rPr>
              <w:t>)</w:t>
            </w:r>
          </w:p>
        </w:tc>
        <w:tc>
          <w:tcPr>
            <w:tcW w:w="470"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3" w:type="pct"/>
            <w:shd w:val="clear" w:color="auto" w:fill="auto"/>
            <w:vAlign w:val="center"/>
          </w:tcPr>
          <w:p>
            <w:pPr>
              <w:jc w:val="center"/>
              <w:rPr>
                <w:rFonts w:ascii="黑体" w:hAnsi="黑体" w:eastAsia="黑体"/>
                <w:b/>
                <w:sz w:val="18"/>
                <w:szCs w:val="18"/>
              </w:rPr>
            </w:pPr>
            <w:r>
              <w:rPr>
                <w:rFonts w:ascii="黑体" w:hAnsi="黑体" w:eastAsia="黑体"/>
                <w:b/>
                <w:sz w:val="18"/>
                <w:szCs w:val="18"/>
              </w:rPr>
              <w:t>(吨)</w:t>
            </w:r>
          </w:p>
        </w:tc>
        <w:tc>
          <w:tcPr>
            <w:tcW w:w="645"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472" w:type="pct"/>
            <w:shd w:val="clear" w:color="auto" w:fill="auto"/>
            <w:vAlign w:val="center"/>
          </w:tcPr>
          <w:p>
            <w:pPr>
              <w:jc w:val="center"/>
              <w:rPr>
                <w:rFonts w:ascii="黑体" w:hAnsi="黑体" w:eastAsia="黑体"/>
                <w:b/>
                <w:sz w:val="18"/>
                <w:szCs w:val="18"/>
              </w:rPr>
            </w:pPr>
            <w:r>
              <w:rPr>
                <w:rFonts w:ascii="黑体" w:hAnsi="黑体" w:eastAsia="黑体"/>
                <w:b/>
                <w:sz w:val="18"/>
                <w:szCs w:val="18"/>
              </w:rPr>
              <w:t>(GJ)</w:t>
            </w:r>
          </w:p>
        </w:tc>
        <w:tc>
          <w:tcPr>
            <w:tcW w:w="618" w:type="pct"/>
            <w:shd w:val="clear" w:color="auto" w:fill="auto"/>
            <w:vAlign w:val="center"/>
          </w:tcPr>
          <w:p>
            <w:pPr>
              <w:jc w:val="center"/>
              <w:rPr>
                <w:rFonts w:ascii="黑体" w:hAnsi="黑体" w:eastAsia="黑体"/>
                <w:b/>
                <w:sz w:val="18"/>
                <w:szCs w:val="18"/>
              </w:rPr>
            </w:pPr>
            <w:r>
              <w:rPr>
                <w:rFonts w:ascii="黑体" w:hAnsi="黑体" w:eastAsia="黑体"/>
                <w:b/>
                <w:sz w:val="18"/>
                <w:szCs w:val="18"/>
              </w:rPr>
              <w:t>（KW</w:t>
            </w:r>
            <w:r>
              <w:rPr>
                <w:rFonts w:ascii="黑体" w:hAnsi="黑体" w:eastAsia="黑体"/>
                <w:b/>
                <w:sz w:val="18"/>
                <w:szCs w:val="18"/>
              </w:rPr>
              <w:sym w:font="Wingdings" w:char="F09E"/>
            </w:r>
            <w:r>
              <w:rPr>
                <w:rFonts w:ascii="黑体" w:hAnsi="黑体" w:eastAsia="黑体"/>
                <w:b/>
                <w:sz w:val="18"/>
                <w:szCs w:val="18"/>
              </w:rPr>
              <w:t>h）</w:t>
            </w:r>
          </w:p>
        </w:tc>
        <w:tc>
          <w:tcPr>
            <w:tcW w:w="464" w:type="pct"/>
            <w:shd w:val="clear" w:color="auto" w:fill="auto"/>
            <w:vAlign w:val="center"/>
          </w:tcPr>
          <w:p>
            <w:pPr>
              <w:jc w:val="center"/>
              <w:rPr>
                <w:rFonts w:ascii="黑体" w:hAnsi="黑体" w:eastAsia="黑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3</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4</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5</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6</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7</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8</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9</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10</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11</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auto"/>
            <w:vAlign w:val="center"/>
          </w:tcPr>
          <w:p>
            <w:pPr>
              <w:jc w:val="center"/>
              <w:rPr>
                <w:rFonts w:ascii="黑体" w:hAnsi="黑体" w:eastAsia="黑体"/>
                <w:sz w:val="18"/>
                <w:szCs w:val="18"/>
              </w:rPr>
            </w:pPr>
            <w:r>
              <w:rPr>
                <w:rFonts w:ascii="黑体" w:hAnsi="黑体" w:eastAsia="黑体"/>
                <w:sz w:val="18"/>
                <w:szCs w:val="18"/>
              </w:rPr>
              <w:t>12</w:t>
            </w:r>
          </w:p>
        </w:tc>
        <w:tc>
          <w:tcPr>
            <w:tcW w:w="667" w:type="pct"/>
            <w:shd w:val="clear" w:color="auto" w:fill="auto"/>
            <w:vAlign w:val="center"/>
          </w:tcPr>
          <w:p>
            <w:pPr>
              <w:jc w:val="center"/>
              <w:rPr>
                <w:rFonts w:ascii="黑体" w:hAnsi="黑体" w:eastAsia="黑体"/>
                <w:sz w:val="18"/>
                <w:szCs w:val="18"/>
              </w:rPr>
            </w:pPr>
          </w:p>
        </w:tc>
        <w:tc>
          <w:tcPr>
            <w:tcW w:w="557" w:type="pct"/>
            <w:shd w:val="clear" w:color="auto" w:fill="auto"/>
            <w:vAlign w:val="center"/>
          </w:tcPr>
          <w:p>
            <w:pPr>
              <w:jc w:val="center"/>
              <w:rPr>
                <w:rFonts w:ascii="黑体" w:hAnsi="黑体" w:eastAsia="黑体"/>
                <w:sz w:val="18"/>
                <w:szCs w:val="18"/>
              </w:rPr>
            </w:pPr>
          </w:p>
        </w:tc>
        <w:tc>
          <w:tcPr>
            <w:tcW w:w="470" w:type="pct"/>
            <w:shd w:val="clear" w:color="auto" w:fill="auto"/>
            <w:vAlign w:val="center"/>
          </w:tcPr>
          <w:p>
            <w:pPr>
              <w:jc w:val="center"/>
              <w:rPr>
                <w:rFonts w:ascii="黑体" w:hAnsi="黑体" w:eastAsia="黑体"/>
                <w:sz w:val="18"/>
                <w:szCs w:val="18"/>
              </w:rPr>
            </w:pPr>
          </w:p>
        </w:tc>
        <w:tc>
          <w:tcPr>
            <w:tcW w:w="643" w:type="pct"/>
            <w:shd w:val="clear" w:color="auto" w:fill="auto"/>
            <w:vAlign w:val="center"/>
          </w:tcPr>
          <w:p>
            <w:pPr>
              <w:jc w:val="center"/>
              <w:rPr>
                <w:rFonts w:ascii="黑体" w:hAnsi="黑体" w:eastAsia="黑体"/>
                <w:sz w:val="18"/>
                <w:szCs w:val="18"/>
              </w:rPr>
            </w:pPr>
          </w:p>
        </w:tc>
        <w:tc>
          <w:tcPr>
            <w:tcW w:w="645" w:type="pct"/>
            <w:shd w:val="clear" w:color="auto" w:fill="auto"/>
            <w:vAlign w:val="center"/>
          </w:tcPr>
          <w:p>
            <w:pPr>
              <w:jc w:val="center"/>
              <w:rPr>
                <w:rFonts w:ascii="黑体" w:hAnsi="黑体" w:eastAsia="黑体"/>
                <w:sz w:val="18"/>
                <w:szCs w:val="18"/>
              </w:rPr>
            </w:pPr>
          </w:p>
        </w:tc>
        <w:tc>
          <w:tcPr>
            <w:tcW w:w="472" w:type="pct"/>
            <w:shd w:val="clear" w:color="auto" w:fill="auto"/>
            <w:vAlign w:val="center"/>
          </w:tcPr>
          <w:p>
            <w:pPr>
              <w:jc w:val="center"/>
              <w:rPr>
                <w:rFonts w:ascii="黑体" w:hAnsi="黑体" w:eastAsia="黑体"/>
                <w:sz w:val="18"/>
                <w:szCs w:val="18"/>
              </w:rPr>
            </w:pPr>
          </w:p>
        </w:tc>
        <w:tc>
          <w:tcPr>
            <w:tcW w:w="618" w:type="pct"/>
            <w:shd w:val="clear" w:color="auto" w:fill="auto"/>
            <w:vAlign w:val="center"/>
          </w:tcPr>
          <w:p>
            <w:pPr>
              <w:jc w:val="center"/>
              <w:rPr>
                <w:rFonts w:ascii="黑体" w:hAnsi="黑体" w:eastAsia="黑体"/>
                <w:sz w:val="18"/>
                <w:szCs w:val="18"/>
              </w:rPr>
            </w:pPr>
          </w:p>
        </w:tc>
        <w:tc>
          <w:tcPr>
            <w:tcW w:w="464" w:type="pct"/>
            <w:shd w:val="clear" w:color="auto" w:fill="auto"/>
            <w:vAlign w:val="center"/>
          </w:tcPr>
          <w:p>
            <w:pPr>
              <w:jc w:val="center"/>
              <w:rPr>
                <w:rFonts w:ascii="黑体" w:hAnsi="黑体" w:eastAsia="黑体"/>
                <w:sz w:val="18"/>
                <w:szCs w:val="18"/>
              </w:rPr>
            </w:pPr>
          </w:p>
        </w:tc>
      </w:tr>
    </w:tbl>
    <w:p>
      <w:pPr>
        <w:snapToGrid w:val="0"/>
        <w:spacing w:line="500" w:lineRule="exact"/>
        <w:ind w:firstLine="560" w:firstLineChars="200"/>
        <w:jc w:val="center"/>
        <w:rPr>
          <w:rFonts w:ascii="仿宋_GB2312" w:eastAsia="仿宋_GB2312"/>
          <w:sz w:val="28"/>
          <w:szCs w:val="32"/>
        </w:rPr>
      </w:pPr>
      <m:oMath>
        <m:r>
          <m:rPr>
            <m:sty m:val="p"/>
          </m:rPr>
          <w:rPr>
            <w:rFonts w:hint="eastAsia" w:ascii="Cambria Math" w:hAnsi="Cambria Math" w:eastAsia="仿宋_GB2312"/>
            <w:sz w:val="28"/>
            <w:szCs w:val="32"/>
          </w:rPr>
          <m:t>综合能耗（</m:t>
        </m:r>
        <m:r>
          <m:rPr>
            <m:sty m:val="p"/>
          </m:rPr>
          <w:rPr>
            <w:rFonts w:ascii="Cambria Math" w:hAnsi="Cambria Math" w:eastAsia="仿宋_GB2312"/>
            <w:sz w:val="28"/>
            <w:szCs w:val="32"/>
          </w:rPr>
          <m:t>KWh</m:t>
        </m:r>
        <m:r>
          <m:rPr>
            <m:sty m:val="p"/>
          </m:rPr>
          <w:rPr>
            <w:rFonts w:hint="eastAsia" w:ascii="Cambria Math" w:hAnsi="Cambria Math" w:eastAsia="仿宋_GB2312"/>
            <w:sz w:val="28"/>
            <w:szCs w:val="32"/>
          </w:rPr>
          <m:t>）=</m:t>
        </m:r>
        <m:nary>
          <m:naryPr>
            <m:chr m:val="∑"/>
            <m:limLoc m:val="undOvr"/>
            <m:ctrlPr>
              <w:rPr>
                <w:rFonts w:ascii="Cambria Math" w:hAnsi="Cambria Math" w:eastAsia="仿宋_GB2312"/>
                <w:sz w:val="28"/>
                <w:szCs w:val="32"/>
              </w:rPr>
            </m:ctrlPr>
          </m:naryPr>
          <m:sub>
            <m:r>
              <m:rPr/>
              <w:rPr>
                <w:rFonts w:hint="eastAsia" w:ascii="Cambria Math" w:hAnsi="Cambria Math" w:eastAsia="仿宋_GB2312"/>
                <w:sz w:val="28"/>
                <w:szCs w:val="32"/>
              </w:rPr>
              <m:t>1</m:t>
            </m:r>
            <m:ctrlPr>
              <w:rPr>
                <w:rFonts w:ascii="Cambria Math" w:hAnsi="Cambria Math" w:eastAsia="仿宋_GB2312"/>
                <w:sz w:val="28"/>
                <w:szCs w:val="32"/>
              </w:rPr>
            </m:ctrlPr>
          </m:sub>
          <m:sup>
            <m:r>
              <m:rPr/>
              <w:rPr>
                <w:rFonts w:hint="eastAsia" w:ascii="Cambria Math" w:hAnsi="Cambria Math" w:eastAsia="仿宋_GB2312"/>
                <w:sz w:val="28"/>
                <w:szCs w:val="32"/>
              </w:rPr>
              <m:t>12</m:t>
            </m:r>
            <m:ctrlPr>
              <w:rPr>
                <w:rFonts w:ascii="Cambria Math" w:hAnsi="Cambria Math" w:eastAsia="仿宋_GB2312"/>
                <w:sz w:val="28"/>
                <w:szCs w:val="32"/>
              </w:rPr>
            </m:ctrlPr>
          </m:sup>
          <m:e>
            <m:r>
              <m:rPr/>
              <w:rPr>
                <w:rFonts w:hint="eastAsia" w:ascii="Cambria Math" w:hAnsi="Cambria Math" w:eastAsia="仿宋_GB2312"/>
                <w:sz w:val="28"/>
                <w:szCs w:val="32"/>
              </w:rPr>
              <m:t>电</m:t>
            </m:r>
            <m:ctrlPr>
              <w:rPr>
                <w:rFonts w:ascii="Cambria Math" w:hAnsi="Cambria Math" w:eastAsia="仿宋_GB2312"/>
                <w:sz w:val="28"/>
                <w:szCs w:val="32"/>
              </w:rPr>
            </m:ctrlPr>
          </m:e>
        </m:nary>
        <m:r>
          <m:rPr/>
          <w:rPr>
            <w:rFonts w:hint="eastAsia" w:ascii="Cambria Math" w:hAnsi="Cambria Math" w:eastAsia="仿宋_GB2312"/>
            <w:sz w:val="28"/>
            <w:szCs w:val="32"/>
          </w:rPr>
          <m:t>+9.5</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天然气</m:t>
            </m:r>
            <m:ctrlPr>
              <w:rPr>
                <w:rFonts w:ascii="Cambria Math" w:hAnsi="Cambria Math" w:eastAsia="仿宋_GB2312"/>
                <w:i/>
                <w:sz w:val="28"/>
                <w:szCs w:val="32"/>
              </w:rPr>
            </m:ctrlPr>
          </m:e>
        </m:nary>
        <m:r>
          <m:rPr/>
          <w:rPr>
            <w:rFonts w:hint="eastAsia" w:ascii="Cambria Math" w:hAnsi="Cambria Math" w:eastAsia="仿宋_GB2312"/>
            <w:sz w:val="28"/>
            <w:szCs w:val="32"/>
          </w:rPr>
          <m:t>+628</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外购蒸汽</m:t>
            </m:r>
            <m:ctrlPr>
              <w:rPr>
                <w:rFonts w:ascii="Cambria Math" w:hAnsi="Cambria Math" w:eastAsia="仿宋_GB2312"/>
                <w:i/>
                <w:sz w:val="28"/>
                <w:szCs w:val="32"/>
              </w:rPr>
            </m:ctrlPr>
          </m:e>
        </m:nary>
        <m:r>
          <m:rPr/>
          <w:rPr>
            <w:rFonts w:hint="eastAsia" w:ascii="Cambria Math" w:hAnsi="Cambria Math" w:eastAsia="仿宋_GB2312"/>
            <w:sz w:val="28"/>
            <w:szCs w:val="32"/>
          </w:rPr>
          <m:t>+35</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外购生活热水</m:t>
            </m:r>
            <m:ctrlPr>
              <w:rPr>
                <w:rFonts w:ascii="Cambria Math" w:hAnsi="Cambria Math" w:eastAsia="仿宋_GB2312"/>
                <w:i/>
                <w:sz w:val="28"/>
                <w:szCs w:val="32"/>
              </w:rPr>
            </m:ctrlPr>
          </m:e>
        </m:nary>
        <m:r>
          <m:rPr/>
          <w:rPr>
            <w:rFonts w:hint="eastAsia" w:ascii="Cambria Math" w:hAnsi="Cambria Math" w:eastAsia="仿宋_GB2312"/>
            <w:sz w:val="28"/>
            <w:szCs w:val="32"/>
          </w:rPr>
          <m:t>+277.8</m:t>
        </m:r>
        <m:r>
          <m:rPr/>
          <w:rPr>
            <w:rFonts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d>
              <m:dPr>
                <m:ctrlPr>
                  <w:rPr>
                    <w:rFonts w:ascii="Cambria Math" w:hAnsi="Cambria Math" w:eastAsia="仿宋_GB2312"/>
                    <w:i/>
                    <w:sz w:val="28"/>
                    <w:szCs w:val="32"/>
                  </w:rPr>
                </m:ctrlPr>
              </m:dPr>
              <m:e>
                <m:r>
                  <m:rPr/>
                  <w:rPr>
                    <w:rFonts w:hint="eastAsia" w:ascii="Cambria Math" w:hAnsi="Cambria Math" w:eastAsia="仿宋_GB2312"/>
                    <w:sz w:val="28"/>
                    <w:szCs w:val="32"/>
                  </w:rPr>
                  <m:t>外购采暖热量+外购冷量</m:t>
                </m:r>
                <m:ctrlPr>
                  <w:rPr>
                    <w:rFonts w:ascii="Cambria Math" w:hAnsi="Cambria Math" w:eastAsia="仿宋_GB2312"/>
                    <w:i/>
                    <w:sz w:val="28"/>
                    <w:szCs w:val="32"/>
                  </w:rPr>
                </m:ctrlPr>
              </m:e>
            </m:d>
            <m:r>
              <m:rPr/>
              <w:rPr>
                <w:rFonts w:hint="eastAsia" w:ascii="Cambria Math" w:hAnsi="Cambria Math" w:eastAsia="仿宋_GB2312"/>
                <w:sz w:val="28"/>
                <w:szCs w:val="32"/>
              </w:rPr>
              <m:t>+</m:t>
            </m:r>
            <m:ctrlPr>
              <w:rPr>
                <w:rFonts w:ascii="Cambria Math" w:hAnsi="Cambria Math" w:eastAsia="仿宋_GB2312"/>
                <w:i/>
                <w:sz w:val="28"/>
                <w:szCs w:val="32"/>
              </w:rPr>
            </m:ctrlPr>
          </m:e>
        </m:nary>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太阳能发电</m:t>
            </m:r>
            <m:ctrlPr>
              <w:rPr>
                <w:rFonts w:ascii="Cambria Math" w:hAnsi="Cambria Math" w:eastAsia="仿宋_GB2312"/>
                <w:i/>
                <w:sz w:val="28"/>
                <w:szCs w:val="32"/>
              </w:rPr>
            </m:ctrlPr>
          </m:e>
        </m:nary>
        <m:r>
          <m:rPr/>
          <w:rPr>
            <w:rFonts w:hint="eastAsia" w:ascii="Cambria Math" w:hAnsi="Cambria Math" w:eastAsia="仿宋_GB2312"/>
            <w:sz w:val="28"/>
            <w:szCs w:val="32"/>
          </w:rPr>
          <m:t>+</m:t>
        </m:r>
        <m:nary>
          <m:naryPr>
            <m:chr m:val="∑"/>
            <m:limLoc m:val="undOvr"/>
            <m:ctrlPr>
              <w:rPr>
                <w:rFonts w:ascii="Cambria Math" w:hAnsi="Cambria Math" w:eastAsia="仿宋_GB2312"/>
                <w:i/>
                <w:sz w:val="28"/>
                <w:szCs w:val="32"/>
              </w:rPr>
            </m:ctrlPr>
          </m:naryPr>
          <m:sub>
            <m:r>
              <m:rPr/>
              <w:rPr>
                <w:rFonts w:hint="eastAsia" w:ascii="Cambria Math" w:hAnsi="Cambria Math" w:eastAsia="仿宋_GB2312"/>
                <w:sz w:val="28"/>
                <w:szCs w:val="32"/>
              </w:rPr>
              <m:t>1</m:t>
            </m:r>
            <m:ctrlPr>
              <w:rPr>
                <w:rFonts w:ascii="Cambria Math" w:hAnsi="Cambria Math" w:eastAsia="仿宋_GB2312"/>
                <w:i/>
                <w:sz w:val="28"/>
                <w:szCs w:val="32"/>
              </w:rPr>
            </m:ctrlPr>
          </m:sub>
          <m:sup>
            <m:r>
              <m:rPr/>
              <w:rPr>
                <w:rFonts w:hint="eastAsia" w:ascii="Cambria Math" w:hAnsi="Cambria Math" w:eastAsia="仿宋_GB2312"/>
                <w:sz w:val="28"/>
                <w:szCs w:val="32"/>
              </w:rPr>
              <m:t>12</m:t>
            </m:r>
            <m:ctrlPr>
              <w:rPr>
                <w:rFonts w:ascii="Cambria Math" w:hAnsi="Cambria Math" w:eastAsia="仿宋_GB2312"/>
                <w:i/>
                <w:sz w:val="28"/>
                <w:szCs w:val="32"/>
              </w:rPr>
            </m:ctrlPr>
          </m:sup>
          <m:e>
            <m:r>
              <m:rPr/>
              <w:rPr>
                <w:rFonts w:hint="eastAsia" w:ascii="Cambria Math" w:hAnsi="Cambria Math" w:eastAsia="仿宋_GB2312"/>
                <w:sz w:val="28"/>
                <w:szCs w:val="32"/>
              </w:rPr>
              <m:t>其他能源</m:t>
            </m:r>
            <m:ctrlPr>
              <w:rPr>
                <w:rFonts w:ascii="Cambria Math" w:hAnsi="Cambria Math" w:eastAsia="仿宋_GB2312"/>
                <w:i/>
                <w:sz w:val="28"/>
                <w:szCs w:val="32"/>
              </w:rPr>
            </m:ctrlPr>
          </m:e>
        </m:nary>
      </m:oMath>
      <w:r>
        <w:rPr>
          <w:rFonts w:ascii="仿宋_GB2312" w:eastAsia="仿宋_GB2312"/>
          <w:sz w:val="28"/>
          <w:szCs w:val="32"/>
        </w:rPr>
        <w:t xml:space="preserve"> </w:t>
      </w:r>
    </w:p>
    <w:p/>
    <w:p>
      <w:pPr>
        <w:keepNext w:val="0"/>
        <w:keepLines w:val="0"/>
        <w:pageBreakBefore w:val="0"/>
        <w:widowControl/>
        <w:kinsoku/>
        <w:wordWrap/>
        <w:overflowPunct w:val="0"/>
        <w:topLinePunct w:val="0"/>
        <w:autoSpaceDE w:val="0"/>
        <w:autoSpaceDN w:val="0"/>
        <w:bidi w:val="0"/>
        <w:adjustRightInd w:val="0"/>
        <w:snapToGrid w:val="0"/>
        <w:spacing w:line="360" w:lineRule="auto"/>
        <w:ind w:right="334" w:firstLine="708" w:firstLineChars="200"/>
        <w:textAlignment w:val="baseline"/>
        <w:rPr>
          <w:rFonts w:hint="eastAsia" w:ascii="仿宋" w:hAnsi="仿宋" w:eastAsia="仿宋" w:cs="仿宋"/>
          <w:spacing w:val="14"/>
          <w:w w:val="102"/>
          <w:sz w:val="32"/>
          <w:szCs w:val="32"/>
          <w:lang w:val="en-US" w:eastAsia="zh-CN"/>
        </w:rPr>
      </w:pPr>
    </w:p>
    <w:sectPr>
      <w:footerReference r:id="rId7" w:type="default"/>
      <w:pgSz w:w="11910" w:h="16840"/>
      <w:pgMar w:top="1431" w:right="1786" w:bottom="1626" w:left="1786" w:header="0" w:footer="15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6" w:lineRule="exact"/>
      <w:ind w:firstLine="7873"/>
      <w:rPr>
        <w:rFonts w:ascii="Arial" w:hAnsi="Arial" w:eastAsia="Arial" w:cs="Arial"/>
        <w:sz w:val="12"/>
        <w:szCs w:val="12"/>
      </w:rPr>
    </w:pPr>
    <w:r>
      <w:rPr>
        <w:rFonts w:ascii="Arial" w:hAnsi="Arial" w:eastAsia="Arial" w:cs="Arial"/>
        <w:position w:val="-2"/>
        <w:sz w:val="12"/>
        <w:szCs w:val="12"/>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3" w:lineRule="exact"/>
      <w:ind w:firstLine="7873"/>
      <w:rPr>
        <w:rFonts w:ascii="Arial" w:hAnsi="Arial" w:eastAsia="Arial" w:cs="Arial"/>
        <w:sz w:val="10"/>
        <w:szCs w:val="10"/>
      </w:rPr>
    </w:pPr>
    <w:r>
      <w:rPr>
        <w:rFonts w:ascii="Arial" w:hAnsi="Arial" w:eastAsia="Arial" w:cs="Arial"/>
        <w:position w:val="-1"/>
        <w:sz w:val="10"/>
        <w:szCs w:val="10"/>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3" w:lineRule="exact"/>
      <w:ind w:firstLine="7873"/>
      <w:rPr>
        <w:rFonts w:ascii="Arial" w:hAnsi="Arial" w:eastAsia="Arial" w:cs="Arial"/>
        <w:sz w:val="10"/>
        <w:szCs w:val="10"/>
      </w:rPr>
    </w:pPr>
    <w:r>
      <w:rPr>
        <w:rFonts w:ascii="Arial" w:hAnsi="Arial" w:eastAsia="Arial" w:cs="Arial"/>
        <w:spacing w:val="-3"/>
        <w:position w:val="-1"/>
        <w:sz w:val="10"/>
        <w:szCs w:val="10"/>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F046F"/>
    <w:rsid w:val="04051239"/>
    <w:rsid w:val="24A92947"/>
    <w:rsid w:val="25041528"/>
    <w:rsid w:val="2F453648"/>
    <w:rsid w:val="32D0357C"/>
    <w:rsid w:val="41992202"/>
    <w:rsid w:val="488F6C89"/>
    <w:rsid w:val="6EA35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2021-11-12T06:43:00Z</dcterms:created>
  <dc:creator>Lenovo</dc:creator>
  <cp:lastModifiedBy>Anything</cp:lastModifiedBy>
  <dcterms:modified xsi:type="dcterms:W3CDTF">2021-11-17T06:24:16Z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2021-11-12T14:43:00Z</vt:filetime>
  </property>
  <property fmtid="{D5CDD505-2E9C-101B-9397-08002B2CF9AE}" pid="4" name="KSOProductBuildVer">
    <vt:lpwstr>2052-11.1.0.11045</vt:lpwstr>
  </property>
  <property fmtid="{D5CDD505-2E9C-101B-9397-08002B2CF9AE}" pid="5" name="ICV">
    <vt:lpwstr>09B7C9C4164040DDA8A9D5DCBD9B6631</vt:lpwstr>
  </property>
</Properties>
</file>