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仿宋_GB2312" w:hAnsi="仿宋_GB2312" w:eastAsia="仿宋_GB2312" w:cs="仿宋_GB2312"/>
          <w:bCs/>
          <w:color w:val="auto"/>
          <w:lang w:eastAsia="zh-CN"/>
        </w:rPr>
      </w:pPr>
      <w:bookmarkStart w:id="0" w:name="_GoBack"/>
    </w:p>
    <w:p>
      <w:pPr>
        <w:spacing w:line="560" w:lineRule="exact"/>
        <w:jc w:val="right"/>
        <w:rPr>
          <w:rFonts w:hint="eastAsia" w:ascii="仿宋_GB2312" w:hAnsi="仿宋_GB2312" w:eastAsia="仿宋_GB2312" w:cs="仿宋_GB2312"/>
          <w:bCs/>
          <w:color w:val="auto"/>
          <w:lang w:eastAsia="zh-CN"/>
        </w:rPr>
      </w:pPr>
    </w:p>
    <w:p>
      <w:pPr>
        <w:spacing w:line="580" w:lineRule="exact"/>
        <w:jc w:val="right"/>
        <w:rPr>
          <w:rFonts w:hint="eastAsia" w:ascii="仿宋_GB2312" w:hAnsi="仿宋_GB2312" w:eastAsia="仿宋_GB2312" w:cs="仿宋_GB2312"/>
          <w:bCs/>
          <w:color w:val="auto"/>
          <w:lang w:val="en-US" w:eastAsia="zh-CN"/>
        </w:rPr>
      </w:pPr>
      <w:r>
        <w:rPr>
          <w:rFonts w:hint="eastAsia" w:ascii="仿宋_GB2312" w:hAnsi="仿宋_GB2312" w:eastAsia="仿宋_GB2312" w:cs="仿宋_GB2312"/>
          <w:bCs/>
          <w:color w:val="auto"/>
          <w:lang w:eastAsia="zh-CN"/>
        </w:rPr>
        <w:t>鲁人社函〔</w:t>
      </w:r>
      <w:r>
        <w:rPr>
          <w:rFonts w:hint="eastAsia" w:ascii="仿宋_GB2312" w:hAnsi="仿宋_GB2312" w:eastAsia="仿宋_GB2312" w:cs="仿宋_GB2312"/>
          <w:bCs/>
          <w:color w:val="auto"/>
          <w:lang w:val="en-US" w:eastAsia="zh-CN"/>
        </w:rPr>
        <w:t>2024</w:t>
      </w:r>
      <w:r>
        <w:rPr>
          <w:rFonts w:hint="eastAsia" w:ascii="仿宋_GB2312" w:hAnsi="仿宋_GB2312" w:eastAsia="仿宋_GB2312" w:cs="仿宋_GB2312"/>
          <w:bCs/>
          <w:color w:val="auto"/>
          <w:lang w:eastAsia="zh-CN"/>
        </w:rPr>
        <w:t>〕</w:t>
      </w:r>
      <w:r>
        <w:rPr>
          <w:rFonts w:hint="eastAsia" w:ascii="仿宋_GB2312" w:hAnsi="仿宋_GB2312" w:eastAsia="仿宋_GB2312" w:cs="仿宋_GB2312"/>
          <w:bCs/>
          <w:color w:val="auto"/>
          <w:lang w:val="en-US" w:eastAsia="zh-CN"/>
        </w:rPr>
        <w:t>48号</w:t>
      </w:r>
    </w:p>
    <w:p>
      <w:pPr>
        <w:spacing w:line="580" w:lineRule="exact"/>
        <w:jc w:val="right"/>
        <w:rPr>
          <w:rFonts w:hint="eastAsia" w:ascii="仿宋_GB2312" w:hAnsi="仿宋_GB2312" w:eastAsia="仿宋_GB2312" w:cs="仿宋_GB2312"/>
          <w:bCs/>
          <w:color w:val="auto"/>
          <w:lang w:val="en-US" w:eastAsia="zh-CN"/>
        </w:rPr>
      </w:pPr>
    </w:p>
    <w:p>
      <w:pPr>
        <w:spacing w:line="580" w:lineRule="exact"/>
        <w:jc w:val="center"/>
        <w:rPr>
          <w:rFonts w:ascii="方正小标宋简体" w:eastAsia="方正小标宋简体"/>
          <w:iCs/>
          <w:color w:val="auto"/>
          <w:sz w:val="44"/>
          <w:szCs w:val="44"/>
        </w:rPr>
      </w:pPr>
      <w:r>
        <w:rPr>
          <w:rFonts w:hint="eastAsia" w:ascii="方正小标宋简体" w:eastAsia="方正小标宋简体"/>
          <w:iCs/>
          <w:color w:val="auto"/>
          <w:sz w:val="44"/>
          <w:szCs w:val="44"/>
        </w:rPr>
        <w:t>山东省人力资源和社会保障厅</w:t>
      </w:r>
    </w:p>
    <w:p>
      <w:pPr>
        <w:pStyle w:val="11"/>
        <w:spacing w:line="580" w:lineRule="exact"/>
        <w:jc w:val="center"/>
        <w:rPr>
          <w:rFonts w:ascii="方正小标宋简体" w:eastAsia="方正小标宋简体"/>
          <w:i w:val="0"/>
          <w:color w:val="auto"/>
          <w:sz w:val="44"/>
          <w:szCs w:val="44"/>
        </w:rPr>
      </w:pPr>
      <w:r>
        <w:rPr>
          <w:rFonts w:hint="eastAsia" w:ascii="方正小标宋简体" w:eastAsia="方正小标宋简体"/>
          <w:i w:val="0"/>
          <w:color w:val="auto"/>
          <w:sz w:val="44"/>
          <w:szCs w:val="44"/>
        </w:rPr>
        <w:t>关于印发《技能人才评价质量建设年活动</w:t>
      </w:r>
    </w:p>
    <w:p>
      <w:pPr>
        <w:pStyle w:val="11"/>
        <w:spacing w:line="580" w:lineRule="exact"/>
        <w:jc w:val="center"/>
        <w:rPr>
          <w:rFonts w:ascii="方正小标宋简体" w:eastAsia="方正小标宋简体"/>
          <w:i w:val="0"/>
          <w:color w:val="auto"/>
          <w:sz w:val="44"/>
          <w:szCs w:val="44"/>
        </w:rPr>
      </w:pPr>
      <w:r>
        <w:rPr>
          <w:rFonts w:hint="eastAsia" w:ascii="方正小标宋简体" w:eastAsia="方正小标宋简体"/>
          <w:i w:val="0"/>
          <w:color w:val="auto"/>
          <w:sz w:val="44"/>
          <w:szCs w:val="44"/>
        </w:rPr>
        <w:t>实施方案》的通知</w:t>
      </w:r>
    </w:p>
    <w:p>
      <w:pPr>
        <w:spacing w:line="580" w:lineRule="exact"/>
        <w:ind w:firstLine="632"/>
        <w:rPr>
          <w:color w:val="auto"/>
        </w:rPr>
      </w:pPr>
    </w:p>
    <w:p>
      <w:pPr>
        <w:spacing w:line="580" w:lineRule="exact"/>
        <w:rPr>
          <w:rFonts w:ascii="FangSong_GB2312" w:eastAsia="FangSong_GB2312"/>
          <w:color w:val="auto"/>
          <w:sz w:val="32"/>
          <w:szCs w:val="32"/>
        </w:rPr>
      </w:pPr>
      <w:r>
        <w:rPr>
          <w:rFonts w:hint="eastAsia" w:ascii="FangSong_GB2312" w:eastAsia="FangSong_GB2312"/>
          <w:color w:val="auto"/>
          <w:sz w:val="32"/>
          <w:szCs w:val="32"/>
        </w:rPr>
        <w:t>各市人力资源社会保障局，各有关单位：</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现将《技能人才评价质量建设年活动实施方案》印发给你们，请结合实际，认真组织实施。</w:t>
      </w:r>
    </w:p>
    <w:p>
      <w:pPr>
        <w:spacing w:line="580" w:lineRule="exact"/>
        <w:ind w:firstLine="632"/>
        <w:rPr>
          <w:rFonts w:ascii="FangSong_GB2312" w:eastAsia="FangSong_GB2312"/>
          <w:color w:val="auto"/>
          <w:sz w:val="32"/>
          <w:szCs w:val="32"/>
        </w:rPr>
      </w:pPr>
    </w:p>
    <w:p>
      <w:pPr>
        <w:spacing w:line="580" w:lineRule="exact"/>
        <w:ind w:firstLine="632"/>
        <w:rPr>
          <w:rFonts w:ascii="FangSong_GB2312" w:eastAsia="FangSong_GB2312"/>
          <w:color w:val="auto"/>
          <w:sz w:val="32"/>
          <w:szCs w:val="32"/>
        </w:rPr>
      </w:pPr>
    </w:p>
    <w:p>
      <w:pPr>
        <w:spacing w:line="580" w:lineRule="exact"/>
        <w:ind w:firstLine="632"/>
        <w:rPr>
          <w:rFonts w:ascii="FangSong_GB2312" w:eastAsia="FangSong_GB2312"/>
          <w:color w:val="auto"/>
          <w:sz w:val="32"/>
          <w:szCs w:val="32"/>
        </w:rPr>
      </w:pPr>
      <w:r>
        <w:rPr>
          <w:rFonts w:ascii="FangSong_GB2312" w:eastAsia="FangSong_GB2312"/>
          <w:color w:val="auto"/>
          <w:sz w:val="32"/>
          <w:szCs w:val="32"/>
        </w:rPr>
        <w:t xml:space="preserve">          </w:t>
      </w:r>
      <w:r>
        <w:rPr>
          <w:rFonts w:hint="eastAsia" w:ascii="FangSong_GB2312" w:eastAsia="FangSong_GB2312"/>
          <w:color w:val="auto"/>
          <w:sz w:val="32"/>
          <w:szCs w:val="32"/>
          <w:lang w:val="en-US" w:eastAsia="zh-CN"/>
        </w:rPr>
        <w:t xml:space="preserve"> </w:t>
      </w:r>
      <w:r>
        <w:rPr>
          <w:rFonts w:ascii="FangSong_GB2312" w:eastAsia="FangSong_GB2312"/>
          <w:color w:val="auto"/>
          <w:sz w:val="32"/>
          <w:szCs w:val="32"/>
        </w:rPr>
        <w:t xml:space="preserve">            山东省人力资源和社会保障厅</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outlineLvl w:val="9"/>
        <w:rPr>
          <w:rFonts w:ascii="FangSong_GB2312" w:eastAsia="FangSong_GB2312"/>
          <w:color w:val="auto"/>
          <w:sz w:val="32"/>
          <w:szCs w:val="32"/>
        </w:rPr>
      </w:pPr>
      <w:r>
        <w:rPr>
          <w:rFonts w:ascii="FangSong_GB2312" w:eastAsia="FangSong_GB2312"/>
          <w:color w:val="auto"/>
          <w:sz w:val="32"/>
          <w:szCs w:val="32"/>
        </w:rPr>
        <w:t xml:space="preserve">                           202</w:t>
      </w:r>
      <w:r>
        <w:rPr>
          <w:rFonts w:hint="eastAsia" w:ascii="FangSong_GB2312" w:eastAsia="FangSong_GB2312"/>
          <w:color w:val="auto"/>
          <w:sz w:val="32"/>
          <w:szCs w:val="32"/>
        </w:rPr>
        <w:t>4</w:t>
      </w:r>
      <w:r>
        <w:rPr>
          <w:rFonts w:ascii="FangSong_GB2312" w:eastAsia="FangSong_GB2312"/>
          <w:color w:val="auto"/>
          <w:sz w:val="32"/>
          <w:szCs w:val="32"/>
        </w:rPr>
        <w:t>年</w:t>
      </w:r>
      <w:r>
        <w:rPr>
          <w:rFonts w:hint="eastAsia" w:ascii="FangSong_GB2312" w:eastAsia="FangSong_GB2312"/>
          <w:color w:val="auto"/>
          <w:sz w:val="32"/>
          <w:szCs w:val="32"/>
        </w:rPr>
        <w:t>4</w:t>
      </w:r>
      <w:r>
        <w:rPr>
          <w:rFonts w:ascii="FangSong_GB2312" w:eastAsia="FangSong_GB2312"/>
          <w:color w:val="auto"/>
          <w:sz w:val="32"/>
          <w:szCs w:val="32"/>
        </w:rPr>
        <w:t>月</w:t>
      </w:r>
      <w:r>
        <w:rPr>
          <w:rFonts w:hint="eastAsia" w:ascii="FangSong_GB2312" w:eastAsia="FangSong_GB2312"/>
          <w:color w:val="auto"/>
          <w:sz w:val="32"/>
          <w:szCs w:val="32"/>
          <w:lang w:val="en-US" w:eastAsia="zh-CN"/>
        </w:rPr>
        <w:t>26</w:t>
      </w:r>
      <w:r>
        <w:rPr>
          <w:rFonts w:hint="eastAsia" w:ascii="FangSong_GB2312" w:eastAsia="FangSong_GB2312"/>
          <w:color w:val="auto"/>
          <w:sz w:val="32"/>
          <w:szCs w:val="32"/>
        </w:rPr>
        <w:t>日</w:t>
      </w:r>
      <w:r>
        <w:rPr>
          <w:rFonts w:hint="eastAsia" w:ascii="FangSong_GB2312" w:eastAsia="FangSong_GB2312"/>
          <w:color w:val="auto"/>
          <w:sz w:val="32"/>
          <w:szCs w:val="32"/>
          <w:lang w:val="en-US" w:eastAsia="zh-CN"/>
        </w:rPr>
        <w:t xml:space="preserve">        </w:t>
      </w:r>
    </w:p>
    <w:p>
      <w:pPr>
        <w:spacing w:line="580" w:lineRule="exact"/>
        <w:rPr>
          <w:rFonts w:ascii="FangSong_GB2312" w:eastAsia="FangSong_GB2312"/>
          <w:color w:val="auto"/>
          <w:sz w:val="32"/>
          <w:szCs w:val="32"/>
        </w:rPr>
      </w:pPr>
    </w:p>
    <w:p>
      <w:pPr>
        <w:spacing w:line="580" w:lineRule="exact"/>
        <w:ind w:firstLine="640" w:firstLineChars="200"/>
        <w:rPr>
          <w:rFonts w:ascii="FangSong_GB2312" w:eastAsia="FangSong_GB2312"/>
          <w:color w:val="auto"/>
          <w:sz w:val="32"/>
          <w:szCs w:val="32"/>
        </w:rPr>
      </w:pPr>
      <w:r>
        <w:rPr>
          <w:rFonts w:ascii="FangSong_GB2312" w:eastAsia="FangSong_GB2312"/>
          <w:color w:val="auto"/>
          <w:sz w:val="32"/>
          <w:szCs w:val="32"/>
        </w:rPr>
        <w:t>(此件主动公开)</w:t>
      </w:r>
    </w:p>
    <w:p>
      <w:pPr>
        <w:spacing w:line="580" w:lineRule="exact"/>
        <w:ind w:firstLine="480" w:firstLineChars="150"/>
        <w:rPr>
          <w:rFonts w:ascii="FangSong_GB2312" w:eastAsia="FangSong_GB2312"/>
          <w:color w:val="auto"/>
          <w:sz w:val="32"/>
          <w:szCs w:val="32"/>
        </w:rPr>
      </w:pPr>
      <w:r>
        <w:rPr>
          <w:rFonts w:ascii="FangSong_GB2312" w:eastAsia="FangSong_GB2312"/>
          <w:color w:val="auto"/>
          <w:sz w:val="32"/>
          <w:szCs w:val="32"/>
        </w:rPr>
        <w:t>（联系单位：省公共就业和人才服务中心技能人才评价管理</w:t>
      </w:r>
    </w:p>
    <w:p>
      <w:pPr>
        <w:spacing w:line="580" w:lineRule="exact"/>
        <w:rPr>
          <w:rFonts w:ascii="FangSong_GB2312" w:eastAsia="FangSong_GB2312"/>
          <w:color w:val="auto"/>
          <w:sz w:val="32"/>
          <w:szCs w:val="32"/>
        </w:rPr>
      </w:pPr>
      <w:r>
        <w:rPr>
          <w:rFonts w:hint="eastAsia" w:ascii="FangSong_GB2312" w:eastAsia="FangSong_GB2312"/>
          <w:color w:val="auto"/>
          <w:sz w:val="32"/>
          <w:szCs w:val="32"/>
        </w:rPr>
        <w:t>服务处）</w:t>
      </w:r>
    </w:p>
    <w:p>
      <w:pPr>
        <w:pStyle w:val="11"/>
        <w:spacing w:line="580" w:lineRule="exact"/>
        <w:jc w:val="center"/>
        <w:rPr>
          <w:rFonts w:ascii="方正小标宋简体" w:eastAsia="方正小标宋简体"/>
          <w:i w:val="0"/>
          <w:color w:val="auto"/>
          <w:sz w:val="44"/>
          <w:szCs w:val="44"/>
        </w:rPr>
      </w:pPr>
    </w:p>
    <w:p>
      <w:pPr>
        <w:pStyle w:val="11"/>
        <w:spacing w:line="580" w:lineRule="exact"/>
        <w:jc w:val="center"/>
        <w:rPr>
          <w:rFonts w:ascii="方正小标宋简体" w:eastAsia="方正小标宋简体"/>
          <w:i w:val="0"/>
          <w:color w:val="auto"/>
          <w:sz w:val="44"/>
          <w:szCs w:val="44"/>
        </w:rPr>
      </w:pPr>
      <w:r>
        <w:rPr>
          <w:rFonts w:ascii="方正小标宋简体" w:eastAsia="方正小标宋简体"/>
          <w:i w:val="0"/>
          <w:color w:val="auto"/>
          <w:sz w:val="44"/>
          <w:szCs w:val="44"/>
        </w:rPr>
        <w:br w:type="page"/>
      </w:r>
    </w:p>
    <w:p>
      <w:pPr>
        <w:pStyle w:val="11"/>
        <w:spacing w:line="580" w:lineRule="exact"/>
        <w:jc w:val="center"/>
        <w:rPr>
          <w:rFonts w:ascii="方正小标宋简体" w:eastAsia="方正小标宋简体"/>
          <w:i w:val="0"/>
          <w:color w:val="auto"/>
          <w:sz w:val="44"/>
          <w:szCs w:val="44"/>
        </w:rPr>
      </w:pPr>
    </w:p>
    <w:p>
      <w:pPr>
        <w:pStyle w:val="11"/>
        <w:spacing w:line="580" w:lineRule="exact"/>
        <w:jc w:val="center"/>
        <w:rPr>
          <w:rFonts w:ascii="方正小标宋简体" w:eastAsia="方正小标宋简体"/>
          <w:i w:val="0"/>
          <w:color w:val="auto"/>
          <w:sz w:val="44"/>
          <w:szCs w:val="44"/>
        </w:rPr>
      </w:pPr>
      <w:r>
        <w:rPr>
          <w:rFonts w:hint="eastAsia" w:ascii="方正小标宋简体" w:eastAsia="方正小标宋简体"/>
          <w:i w:val="0"/>
          <w:color w:val="auto"/>
          <w:sz w:val="44"/>
          <w:szCs w:val="44"/>
        </w:rPr>
        <w:t>技能人才评价质量建设年活动实施方案</w:t>
      </w:r>
    </w:p>
    <w:p>
      <w:pPr>
        <w:pStyle w:val="11"/>
        <w:spacing w:line="580" w:lineRule="exact"/>
        <w:ind w:firstLine="640" w:firstLineChars="200"/>
        <w:rPr>
          <w:rFonts w:ascii="FangSong_GB2312" w:eastAsia="FangSong_GB2312"/>
          <w:i w:val="0"/>
          <w:iCs w:val="0"/>
          <w:color w:val="auto"/>
          <w:sz w:val="32"/>
          <w:szCs w:val="32"/>
        </w:rPr>
      </w:pPr>
    </w:p>
    <w:p>
      <w:pPr>
        <w:pStyle w:val="11"/>
        <w:spacing w:line="580" w:lineRule="exact"/>
        <w:ind w:firstLine="640" w:firstLineChars="200"/>
        <w:rPr>
          <w:rFonts w:ascii="FangSong_GB2312" w:eastAsia="FangSong_GB2312"/>
          <w:i w:val="0"/>
          <w:iCs w:val="0"/>
          <w:color w:val="auto"/>
          <w:sz w:val="32"/>
          <w:szCs w:val="32"/>
        </w:rPr>
      </w:pPr>
      <w:r>
        <w:rPr>
          <w:rFonts w:ascii="FangSong_GB2312" w:eastAsia="FangSong_GB2312"/>
          <w:i w:val="0"/>
          <w:iCs w:val="0"/>
          <w:color w:val="auto"/>
          <w:sz w:val="32"/>
          <w:szCs w:val="32"/>
        </w:rPr>
        <w:t>为贯彻落实习近平总书记重要批示精神</w:t>
      </w:r>
      <w:r>
        <w:rPr>
          <w:rFonts w:hint="eastAsia" w:ascii="FangSong_GB2312" w:eastAsia="FangSong_GB2312"/>
          <w:i w:val="0"/>
          <w:iCs w:val="0"/>
          <w:color w:val="auto"/>
          <w:sz w:val="32"/>
          <w:szCs w:val="32"/>
        </w:rPr>
        <w:t>，</w:t>
      </w:r>
      <w:r>
        <w:rPr>
          <w:rFonts w:ascii="FangSong_GB2312" w:eastAsia="FangSong_GB2312"/>
          <w:i w:val="0"/>
          <w:iCs w:val="0"/>
          <w:color w:val="auto"/>
          <w:sz w:val="32"/>
          <w:szCs w:val="32"/>
        </w:rPr>
        <w:t>巩固全省职业技能培训和评价专项整治工作成果</w:t>
      </w:r>
      <w:r>
        <w:rPr>
          <w:rFonts w:hint="eastAsia" w:ascii="FangSong_GB2312" w:eastAsia="FangSong_GB2312"/>
          <w:i w:val="0"/>
          <w:iCs w:val="0"/>
          <w:color w:val="auto"/>
          <w:sz w:val="32"/>
          <w:szCs w:val="32"/>
        </w:rPr>
        <w:t>，进一步加强技能人才评价质量监督管理，提升技能人才评价工作科学化、规范化水平</w:t>
      </w:r>
      <w:r>
        <w:rPr>
          <w:rFonts w:ascii="FangSong_GB2312" w:eastAsia="FangSong_GB2312"/>
          <w:i w:val="0"/>
          <w:iCs w:val="0"/>
          <w:color w:val="auto"/>
          <w:sz w:val="32"/>
          <w:szCs w:val="32"/>
        </w:rPr>
        <w:t>，决定在</w:t>
      </w:r>
      <w:r>
        <w:rPr>
          <w:rFonts w:hint="eastAsia" w:ascii="FangSong_GB2312" w:eastAsia="FangSong_GB2312"/>
          <w:i w:val="0"/>
          <w:iCs w:val="0"/>
          <w:color w:val="auto"/>
          <w:sz w:val="32"/>
          <w:szCs w:val="32"/>
        </w:rPr>
        <w:t>2024年开展“技能人才评价质量建设年”（以下简称“质量年”）活动，</w:t>
      </w:r>
      <w:r>
        <w:rPr>
          <w:rFonts w:ascii="FangSong_GB2312" w:eastAsia="FangSong_GB2312"/>
          <w:i w:val="0"/>
          <w:iCs w:val="0"/>
          <w:color w:val="auto"/>
          <w:sz w:val="32"/>
          <w:szCs w:val="32"/>
        </w:rPr>
        <w:t>现制定实施方案如下。</w:t>
      </w:r>
    </w:p>
    <w:p>
      <w:pPr>
        <w:pStyle w:val="11"/>
        <w:spacing w:line="580" w:lineRule="exact"/>
        <w:ind w:firstLine="640" w:firstLineChars="200"/>
        <w:rPr>
          <w:rFonts w:ascii="黑体" w:hAnsi="黑体" w:eastAsia="黑体"/>
          <w:i w:val="0"/>
          <w:color w:val="auto"/>
          <w:sz w:val="32"/>
          <w:szCs w:val="32"/>
        </w:rPr>
      </w:pPr>
      <w:r>
        <w:rPr>
          <w:rFonts w:hint="eastAsia" w:ascii="黑体" w:hAnsi="黑体" w:eastAsia="黑体"/>
          <w:i w:val="0"/>
          <w:color w:val="auto"/>
          <w:sz w:val="32"/>
          <w:szCs w:val="32"/>
        </w:rPr>
        <w:t>一、总体要求</w:t>
      </w:r>
    </w:p>
    <w:p>
      <w:pPr>
        <w:pStyle w:val="11"/>
        <w:spacing w:line="580" w:lineRule="exact"/>
        <w:ind w:firstLine="640" w:firstLineChars="200"/>
        <w:rPr>
          <w:rFonts w:hint="eastAsia" w:ascii="楷体_GB2312" w:hAnsi="楷体_GB2312" w:eastAsia="楷体_GB2312" w:cs="楷体_GB2312"/>
          <w:i w:val="0"/>
          <w:color w:val="auto"/>
          <w:sz w:val="32"/>
          <w:szCs w:val="32"/>
        </w:rPr>
      </w:pPr>
      <w:r>
        <w:rPr>
          <w:rFonts w:hint="eastAsia" w:ascii="楷体_GB2312" w:hAnsi="楷体_GB2312" w:eastAsia="楷体_GB2312" w:cs="楷体_GB2312"/>
          <w:i w:val="0"/>
          <w:color w:val="auto"/>
          <w:sz w:val="32"/>
          <w:szCs w:val="32"/>
        </w:rPr>
        <w:t>（一）指导思想</w:t>
      </w:r>
    </w:p>
    <w:p>
      <w:pPr>
        <w:spacing w:line="580" w:lineRule="exact"/>
        <w:ind w:firstLine="640" w:firstLineChars="200"/>
        <w:rPr>
          <w:rFonts w:ascii="FangSong_GB2312" w:hAnsi="FangSong_GB2312" w:eastAsia="FangSong_GB2312"/>
          <w:color w:val="auto"/>
          <w:sz w:val="32"/>
          <w:szCs w:val="32"/>
        </w:rPr>
      </w:pPr>
      <w:r>
        <w:rPr>
          <w:rFonts w:ascii="FangSong_GB2312" w:hAnsi="FangSong_GB2312" w:eastAsia="FangSong_GB2312"/>
          <w:color w:val="auto"/>
          <w:sz w:val="32"/>
          <w:szCs w:val="32"/>
        </w:rPr>
        <w:t>全面贯彻落实党中央、国务院</w:t>
      </w:r>
      <w:r>
        <w:rPr>
          <w:rFonts w:hint="eastAsia" w:ascii="FangSong_GB2312" w:hAnsi="FangSong_GB2312" w:eastAsia="FangSong_GB2312"/>
          <w:color w:val="auto"/>
          <w:sz w:val="32"/>
          <w:szCs w:val="32"/>
        </w:rPr>
        <w:t>技能人才队伍建设系列决策部署</w:t>
      </w:r>
      <w:r>
        <w:rPr>
          <w:rFonts w:hint="default" w:ascii="FangSong_GB2312" w:hAnsi="FangSong_GB2312" w:eastAsia="FangSong_GB2312"/>
          <w:color w:val="auto"/>
          <w:sz w:val="32"/>
          <w:szCs w:val="32"/>
        </w:rPr>
        <w:t>及</w:t>
      </w:r>
      <w:r>
        <w:rPr>
          <w:rFonts w:hint="eastAsia" w:ascii="FangSong_GB2312" w:hAnsi="FangSong_GB2312" w:eastAsia="FangSong_GB2312"/>
          <w:color w:val="auto"/>
          <w:sz w:val="32"/>
          <w:szCs w:val="32"/>
        </w:rPr>
        <w:t>省委、省政府</w:t>
      </w:r>
      <w:r>
        <w:rPr>
          <w:rFonts w:hint="default" w:ascii="FangSong_GB2312" w:hAnsi="FangSong_GB2312" w:eastAsia="FangSong_GB2312"/>
          <w:color w:val="auto"/>
          <w:sz w:val="32"/>
          <w:szCs w:val="32"/>
        </w:rPr>
        <w:t>工作要求，</w:t>
      </w:r>
      <w:r>
        <w:rPr>
          <w:rFonts w:ascii="FangSong_GB2312" w:hAnsi="FangSong_GB2312" w:eastAsia="FangSong_GB2312"/>
          <w:color w:val="auto"/>
          <w:sz w:val="32"/>
          <w:szCs w:val="32"/>
        </w:rPr>
        <w:t>深</w:t>
      </w:r>
      <w:r>
        <w:rPr>
          <w:rFonts w:hint="eastAsia" w:ascii="FangSong_GB2312" w:hAnsi="FangSong_GB2312" w:eastAsia="FangSong_GB2312"/>
          <w:color w:val="auto"/>
          <w:sz w:val="32"/>
          <w:szCs w:val="32"/>
        </w:rPr>
        <w:t>入</w:t>
      </w:r>
      <w:r>
        <w:rPr>
          <w:rFonts w:ascii="FangSong_GB2312" w:hAnsi="FangSong_GB2312" w:eastAsia="FangSong_GB2312"/>
          <w:color w:val="auto"/>
          <w:sz w:val="32"/>
          <w:szCs w:val="32"/>
        </w:rPr>
        <w:t>推进技能人才评价制度改革，坚持问题</w:t>
      </w:r>
      <w:r>
        <w:rPr>
          <w:rFonts w:hint="eastAsia" w:ascii="FangSong_GB2312" w:hAnsi="FangSong_GB2312" w:eastAsia="FangSong_GB2312"/>
          <w:color w:val="auto"/>
          <w:sz w:val="32"/>
          <w:szCs w:val="32"/>
        </w:rPr>
        <w:t>、需求、目标、效果</w:t>
      </w:r>
      <w:r>
        <w:rPr>
          <w:rFonts w:ascii="FangSong_GB2312" w:hAnsi="FangSong_GB2312" w:eastAsia="FangSong_GB2312"/>
          <w:color w:val="auto"/>
          <w:sz w:val="32"/>
          <w:szCs w:val="32"/>
        </w:rPr>
        <w:t>导向</w:t>
      </w:r>
      <w:r>
        <w:rPr>
          <w:rFonts w:hint="eastAsia" w:ascii="FangSong_GB2312" w:hAnsi="FangSong_GB2312" w:eastAsia="FangSong_GB2312"/>
          <w:color w:val="auto"/>
          <w:sz w:val="32"/>
          <w:szCs w:val="32"/>
        </w:rPr>
        <w:t>，坚持</w:t>
      </w:r>
      <w:r>
        <w:rPr>
          <w:rFonts w:hint="eastAsia" w:ascii="FangSong_GB2312" w:hAnsi="FangSong_GB2312" w:eastAsia="FangSong_GB2312" w:cs="FangSong_GB2312"/>
          <w:color w:val="auto"/>
          <w:sz w:val="32"/>
          <w:szCs w:val="32"/>
        </w:rPr>
        <w:t>技术指导与质量监管并重，</w:t>
      </w:r>
      <w:r>
        <w:rPr>
          <w:rFonts w:ascii="FangSong_GB2312" w:hAnsi="FangSong_GB2312" w:eastAsia="FangSong_GB2312"/>
          <w:color w:val="auto"/>
          <w:sz w:val="32"/>
          <w:szCs w:val="32"/>
        </w:rPr>
        <w:t>通过指标引领</w:t>
      </w:r>
      <w:r>
        <w:rPr>
          <w:rFonts w:hint="eastAsia" w:ascii="FangSong_GB2312" w:hAnsi="FangSong_GB2312" w:eastAsia="FangSong_GB2312"/>
          <w:color w:val="auto"/>
          <w:sz w:val="32"/>
          <w:szCs w:val="32"/>
        </w:rPr>
        <w:t>、制度增效、</w:t>
      </w:r>
      <w:r>
        <w:rPr>
          <w:rFonts w:ascii="FangSong_GB2312" w:hAnsi="FangSong_GB2312" w:eastAsia="FangSong_GB2312"/>
          <w:color w:val="auto"/>
          <w:sz w:val="32"/>
          <w:szCs w:val="32"/>
        </w:rPr>
        <w:t>队伍强能</w:t>
      </w:r>
      <w:r>
        <w:rPr>
          <w:rFonts w:hint="eastAsia" w:ascii="FangSong_GB2312" w:hAnsi="FangSong_GB2312" w:eastAsia="FangSong_GB2312"/>
          <w:color w:val="auto"/>
          <w:sz w:val="32"/>
          <w:szCs w:val="32"/>
        </w:rPr>
        <w:t>、设施提质、系统支撑，</w:t>
      </w:r>
      <w:r>
        <w:rPr>
          <w:rFonts w:ascii="FangSong_GB2312" w:hAnsi="FangSong_GB2312" w:eastAsia="FangSong_GB2312"/>
          <w:color w:val="auto"/>
          <w:sz w:val="32"/>
          <w:szCs w:val="32"/>
        </w:rPr>
        <w:t>强化评价工作全链条</w:t>
      </w:r>
      <w:r>
        <w:rPr>
          <w:rFonts w:hint="eastAsia" w:ascii="FangSong_GB2312" w:hAnsi="FangSong_GB2312" w:eastAsia="FangSong_GB2312"/>
          <w:color w:val="auto"/>
          <w:sz w:val="32"/>
          <w:szCs w:val="32"/>
        </w:rPr>
        <w:t>、</w:t>
      </w:r>
      <w:r>
        <w:rPr>
          <w:rFonts w:ascii="FangSong_GB2312" w:hAnsi="FangSong_GB2312" w:eastAsia="FangSong_GB2312"/>
          <w:color w:val="auto"/>
          <w:sz w:val="32"/>
          <w:szCs w:val="32"/>
        </w:rPr>
        <w:t>各环节质量管理</w:t>
      </w:r>
      <w:r>
        <w:rPr>
          <w:rFonts w:hint="eastAsia" w:ascii="FangSong_GB2312" w:hAnsi="FangSong_GB2312" w:eastAsia="FangSong_GB2312"/>
          <w:color w:val="auto"/>
          <w:sz w:val="32"/>
          <w:szCs w:val="32"/>
        </w:rPr>
        <w:t>，构建完善政府监管、机构自律、社会监督的质量监督体系，夯实评价质量管理工作基础，</w:t>
      </w:r>
      <w:r>
        <w:rPr>
          <w:rFonts w:ascii="FangSong_GB2312" w:hAnsi="FangSong_GB2312" w:eastAsia="FangSong_GB2312"/>
          <w:color w:val="auto"/>
          <w:sz w:val="32"/>
          <w:szCs w:val="32"/>
        </w:rPr>
        <w:t>推</w:t>
      </w:r>
      <w:r>
        <w:rPr>
          <w:rFonts w:hint="eastAsia" w:ascii="FangSong_GB2312" w:hAnsi="FangSong_GB2312" w:eastAsia="FangSong_GB2312"/>
          <w:color w:val="auto"/>
          <w:sz w:val="32"/>
          <w:szCs w:val="32"/>
        </w:rPr>
        <w:t>动技能人才评价工作高质量发展</w:t>
      </w:r>
      <w:r>
        <w:rPr>
          <w:rFonts w:ascii="FangSong_GB2312" w:hAnsi="FangSong_GB2312" w:eastAsia="FangSong_GB2312"/>
          <w:color w:val="auto"/>
          <w:sz w:val="32"/>
          <w:szCs w:val="32"/>
        </w:rPr>
        <w:t>。</w:t>
      </w:r>
    </w:p>
    <w:p>
      <w:pPr>
        <w:pStyle w:val="11"/>
        <w:spacing w:line="580" w:lineRule="exact"/>
        <w:ind w:firstLine="640" w:firstLineChars="200"/>
        <w:rPr>
          <w:rFonts w:hint="eastAsia" w:ascii="楷体_GB2312" w:hAnsi="楷体_GB2312" w:eastAsia="楷体_GB2312" w:cs="楷体_GB2312"/>
          <w:i w:val="0"/>
          <w:color w:val="auto"/>
          <w:sz w:val="32"/>
          <w:szCs w:val="32"/>
        </w:rPr>
      </w:pPr>
      <w:r>
        <w:rPr>
          <w:rFonts w:hint="eastAsia" w:ascii="楷体_GB2312" w:hAnsi="楷体_GB2312" w:eastAsia="楷体_GB2312" w:cs="楷体_GB2312"/>
          <w:i w:val="0"/>
          <w:color w:val="auto"/>
          <w:sz w:val="32"/>
          <w:szCs w:val="32"/>
        </w:rPr>
        <w:t>（二）主要目标</w:t>
      </w:r>
    </w:p>
    <w:p>
      <w:pPr>
        <w:spacing w:line="580" w:lineRule="exact"/>
        <w:ind w:firstLine="640" w:firstLineChars="200"/>
        <w:rPr>
          <w:rFonts w:ascii="FangSong_GB2312" w:eastAsia="FangSong_GB2312"/>
          <w:color w:val="auto"/>
          <w:sz w:val="32"/>
          <w:szCs w:val="32"/>
        </w:rPr>
      </w:pPr>
      <w:r>
        <w:rPr>
          <w:rFonts w:hint="eastAsia" w:ascii="FangSong_GB2312" w:hAnsi="FangSong_GB2312" w:eastAsia="FangSong_GB2312" w:cs="FangSong_GB2312"/>
          <w:color w:val="auto"/>
          <w:sz w:val="32"/>
          <w:szCs w:val="32"/>
        </w:rPr>
        <w:t>通过“质量年”活动各项工作，指导督促各级各类职业技能评价机构</w:t>
      </w:r>
      <w:r>
        <w:rPr>
          <w:rFonts w:hint="eastAsia" w:ascii="FangSong_GB2312" w:eastAsia="FangSong_GB2312"/>
          <w:color w:val="auto"/>
          <w:sz w:val="32"/>
          <w:szCs w:val="32"/>
        </w:rPr>
        <w:t>（以下简称“评价机构”）</w:t>
      </w:r>
      <w:r>
        <w:rPr>
          <w:rFonts w:hint="eastAsia" w:ascii="FangSong_GB2312" w:hAnsi="FangSong_GB2312" w:eastAsia="FangSong_GB2312" w:cs="FangSong_GB2312"/>
          <w:color w:val="auto"/>
          <w:sz w:val="32"/>
          <w:szCs w:val="32"/>
        </w:rPr>
        <w:t>树牢质量意识、标准意识和责任意识，自觉</w:t>
      </w:r>
      <w:r>
        <w:rPr>
          <w:rFonts w:hint="eastAsia" w:ascii="FangSong_GB2312" w:hAnsi="FangSong_GB2312" w:eastAsia="FangSong_GB2312"/>
          <w:color w:val="auto"/>
          <w:sz w:val="32"/>
          <w:szCs w:val="32"/>
        </w:rPr>
        <w:t>履行</w:t>
      </w:r>
      <w:r>
        <w:rPr>
          <w:rFonts w:hint="eastAsia" w:ascii="FangSong_GB2312" w:hAnsi="FangSong_GB2312" w:eastAsia="FangSong_GB2312" w:cs="FangSong_GB2312"/>
          <w:color w:val="auto"/>
          <w:sz w:val="32"/>
          <w:szCs w:val="32"/>
        </w:rPr>
        <w:t>“谁评价、谁发证、谁负责”</w:t>
      </w:r>
      <w:r>
        <w:rPr>
          <w:rFonts w:hint="eastAsia" w:ascii="FangSong_GB2312" w:hAnsi="FangSong_GB2312" w:eastAsia="FangSong_GB2312"/>
          <w:color w:val="auto"/>
          <w:sz w:val="32"/>
          <w:szCs w:val="32"/>
        </w:rPr>
        <w:t>主体责任，规范实施技能评价。</w:t>
      </w:r>
      <w:r>
        <w:rPr>
          <w:rFonts w:ascii="FangSong_GB2312" w:hAnsi="FangSong_GB2312" w:eastAsia="FangSong_GB2312"/>
          <w:color w:val="auto"/>
          <w:sz w:val="32"/>
          <w:szCs w:val="32"/>
        </w:rPr>
        <w:t>到</w:t>
      </w:r>
      <w:r>
        <w:rPr>
          <w:rFonts w:hint="eastAsia" w:ascii="FangSong_GB2312" w:hAnsi="FangSong_GB2312" w:eastAsia="FangSong_GB2312"/>
          <w:color w:val="auto"/>
          <w:sz w:val="32"/>
          <w:szCs w:val="32"/>
        </w:rPr>
        <w:t>2024</w:t>
      </w:r>
      <w:r>
        <w:rPr>
          <w:rFonts w:ascii="FangSong_GB2312" w:hAnsi="FangSong_GB2312" w:eastAsia="FangSong_GB2312"/>
          <w:color w:val="auto"/>
          <w:sz w:val="32"/>
          <w:szCs w:val="32"/>
        </w:rPr>
        <w:t>年底，对</w:t>
      </w:r>
      <w:r>
        <w:rPr>
          <w:rFonts w:hint="eastAsia" w:ascii="FangSong_GB2312" w:hAnsi="FangSong_GB2312" w:eastAsia="FangSong_GB2312"/>
          <w:color w:val="auto"/>
          <w:sz w:val="32"/>
          <w:szCs w:val="32"/>
        </w:rPr>
        <w:t>备案到期的评价机构，全部实施定期评估；对各市技能人才评价管理部门工作人员，普遍培训一次；</w:t>
      </w:r>
      <w:r>
        <w:rPr>
          <w:rFonts w:hint="eastAsia" w:ascii="FangSong_GB2312" w:eastAsia="FangSong_GB2312"/>
          <w:color w:val="auto"/>
          <w:sz w:val="32"/>
          <w:szCs w:val="32"/>
        </w:rPr>
        <w:t>社会培训评价组织（以下简称“社评组织”）评价服务对象满意度达到9</w:t>
      </w:r>
      <w:r>
        <w:rPr>
          <w:rFonts w:ascii="FangSong_GB2312" w:eastAsia="FangSong_GB2312"/>
          <w:color w:val="auto"/>
          <w:sz w:val="32"/>
          <w:szCs w:val="32"/>
        </w:rPr>
        <w:t>0</w:t>
      </w:r>
      <w:r>
        <w:rPr>
          <w:rFonts w:hint="eastAsia" w:ascii="FangSong_GB2312" w:eastAsia="FangSong_GB2312"/>
          <w:color w:val="auto"/>
          <w:sz w:val="32"/>
          <w:szCs w:val="32"/>
        </w:rPr>
        <w:t>%以上；评价机构制度建设更加完备，题库、设施、专业队伍等评价基础更加巩固，评价工作更加规范，评价质量明显提升。</w:t>
      </w:r>
    </w:p>
    <w:p>
      <w:pPr>
        <w:pStyle w:val="11"/>
        <w:spacing w:line="580" w:lineRule="exact"/>
        <w:ind w:firstLine="640" w:firstLineChars="200"/>
        <w:rPr>
          <w:rFonts w:ascii="黑体" w:hAnsi="黑体" w:eastAsia="黑体"/>
          <w:i w:val="0"/>
          <w:color w:val="auto"/>
          <w:sz w:val="32"/>
          <w:szCs w:val="32"/>
        </w:rPr>
      </w:pPr>
      <w:r>
        <w:rPr>
          <w:rFonts w:hint="eastAsia" w:ascii="黑体" w:hAnsi="黑体" w:eastAsia="黑体"/>
          <w:i w:val="0"/>
          <w:color w:val="auto"/>
          <w:sz w:val="32"/>
          <w:szCs w:val="32"/>
        </w:rPr>
        <w:t>二、重点工作</w:t>
      </w:r>
    </w:p>
    <w:p>
      <w:pPr>
        <w:pStyle w:val="11"/>
        <w:spacing w:line="580" w:lineRule="exact"/>
        <w:ind w:firstLine="640" w:firstLineChars="200"/>
        <w:rPr>
          <w:rFonts w:hint="eastAsia" w:ascii="楷体_GB2312" w:hAnsi="楷体_GB2312" w:eastAsia="楷体_GB2312" w:cs="楷体_GB2312"/>
          <w:i w:val="0"/>
          <w:color w:val="auto"/>
          <w:sz w:val="32"/>
          <w:szCs w:val="32"/>
        </w:rPr>
      </w:pPr>
      <w:r>
        <w:rPr>
          <w:rFonts w:hint="eastAsia" w:ascii="楷体_GB2312" w:hAnsi="楷体_GB2312" w:eastAsia="楷体_GB2312" w:cs="楷体_GB2312"/>
          <w:i w:val="0"/>
          <w:color w:val="auto"/>
          <w:sz w:val="32"/>
          <w:szCs w:val="32"/>
        </w:rPr>
        <w:t>（一）构建评价质量督导指标体系</w:t>
      </w:r>
    </w:p>
    <w:p>
      <w:pPr>
        <w:pStyle w:val="11"/>
        <w:spacing w:line="580" w:lineRule="exact"/>
        <w:ind w:firstLine="640" w:firstLineChars="200"/>
        <w:rPr>
          <w:rFonts w:ascii="FangSong_GB2312" w:eastAsia="FangSong_GB2312"/>
          <w:i w:val="0"/>
          <w:iCs w:val="0"/>
          <w:color w:val="auto"/>
          <w:sz w:val="32"/>
          <w:szCs w:val="32"/>
        </w:rPr>
      </w:pPr>
      <w:r>
        <w:rPr>
          <w:rFonts w:hint="eastAsia" w:ascii="FangSong_GB2312" w:eastAsia="FangSong_GB2312"/>
          <w:i w:val="0"/>
          <w:iCs w:val="0"/>
          <w:color w:val="auto"/>
          <w:sz w:val="32"/>
          <w:szCs w:val="32"/>
        </w:rPr>
        <w:t>着眼提升质量监管工作科学性、有效性，依据《山东省技能人才评价质量督导工作实施细则（试行）》等相关文件，研究建立我省技能人才评价质量督导指标体系。质量督导指标主要适用于技能人才评价管理部门按照“双随机、一公开”原则开展质量监督管理，规范外部质量督导，建立质量督导档案时参考，也可供评价机构开展内部质量督导时使用</w:t>
      </w:r>
      <w:r>
        <w:rPr>
          <w:rFonts w:ascii="FangSong_GB2312" w:eastAsia="FangSong_GB2312"/>
          <w:i w:val="0"/>
          <w:iCs w:val="0"/>
          <w:color w:val="auto"/>
          <w:sz w:val="32"/>
          <w:szCs w:val="32"/>
        </w:rPr>
        <w:t>。</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（二）开展评价机构定期评估</w:t>
      </w:r>
    </w:p>
    <w:p>
      <w:pPr>
        <w:spacing w:line="580" w:lineRule="exact"/>
        <w:ind w:firstLine="645"/>
        <w:rPr>
          <w:rFonts w:ascii="FangSong_GB2312" w:eastAsia="FangSong_GB2312"/>
          <w:color w:val="auto"/>
          <w:sz w:val="32"/>
          <w:szCs w:val="32"/>
        </w:rPr>
      </w:pPr>
      <w:r>
        <w:rPr>
          <w:rFonts w:hint="eastAsia" w:ascii="FangSong_GB2312" w:eastAsia="FangSong_GB2312"/>
          <w:color w:val="auto"/>
          <w:sz w:val="32"/>
          <w:szCs w:val="32"/>
        </w:rPr>
        <w:t>各级人力资源社会保障部门要对即将备案期满的自主评价企业、社评组织进行定期评估，通过以评促改、以评促建、以评促管，推动评价机构规范有序发展。定期评估主要采取资料审查、系统监测、实地核查或第三方评估等形式。评估结果作为评价机构继续开展评价工作、拓宽评价范围、退出评价机构目录等的重要依据。通过定期评估，省厅将动态调整评价机构目录，并在“山东省技能人才评价工作网”及时更新。</w:t>
      </w:r>
    </w:p>
    <w:p>
      <w:pPr>
        <w:pStyle w:val="11"/>
        <w:spacing w:line="580" w:lineRule="exact"/>
        <w:ind w:firstLine="640" w:firstLineChars="200"/>
        <w:rPr>
          <w:rFonts w:hint="eastAsia" w:ascii="楷体_GB2312" w:hAnsi="楷体_GB2312" w:eastAsia="楷体_GB2312" w:cs="楷体_GB2312"/>
          <w:i w:val="0"/>
          <w:color w:val="auto"/>
          <w:sz w:val="32"/>
          <w:szCs w:val="32"/>
        </w:rPr>
      </w:pPr>
      <w:r>
        <w:rPr>
          <w:rFonts w:hint="eastAsia" w:ascii="楷体_GB2312" w:hAnsi="楷体_GB2312" w:eastAsia="楷体_GB2312" w:cs="楷体_GB2312"/>
          <w:i w:val="0"/>
          <w:color w:val="auto"/>
          <w:sz w:val="32"/>
          <w:szCs w:val="32"/>
        </w:rPr>
        <w:t>（三）加强评价队伍建设</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省厅以评价政策、题库开发、质量监管等为主要内容，组织开展全省技能人才评价工作管理人员培训班，提升各级技能人才评价管理部门工作人员的政策水平和业务能力。各市可结合实际，采取线上线下等形式，对相关工作人员进行培训，</w:t>
      </w:r>
      <w:r>
        <w:rPr>
          <w:rFonts w:ascii="FangSong_GB2312" w:eastAsia="FangSong_GB2312"/>
          <w:color w:val="auto"/>
          <w:sz w:val="32"/>
          <w:szCs w:val="32"/>
        </w:rPr>
        <w:t>同时</w:t>
      </w:r>
      <w:r>
        <w:rPr>
          <w:rFonts w:hint="eastAsia" w:ascii="FangSong_GB2312" w:eastAsia="FangSong_GB2312"/>
          <w:color w:val="auto"/>
          <w:sz w:val="32"/>
          <w:szCs w:val="32"/>
        </w:rPr>
        <w:t>，指导督促评价机构加强自身评价队伍建设，考评员、督导员配置应满足评价需求且持证上岗，人员信息按要求录入“山东省职业技能综合评价信息管理平台”。评价机构应建立考评员、督导员培训、资格认定、派遣管理等机制，加强技能人才评价有关政策、职业素养、评价流程、职业标准、技术规范等培训，提升组织实施评价的工作能力。</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（四）强化评价过程质量督导</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各级人力资源社会保障部门要采取经常性抽检与信息化监管相结合，现场督导与过程化资料抽检相结合等方法，加强对评价过程的监督检查。每年对社评组织过程化资料抽检率不少于评价批次的50%，对用人单位过程化资料抽检率不少于评价批次的10%。</w:t>
      </w:r>
      <w:r>
        <w:rPr>
          <w:rFonts w:hint="eastAsia" w:ascii="FangSong_GB2312" w:hAnsi="微软雅黑" w:eastAsia="FangSong_GB2312" w:cs="宋体"/>
          <w:color w:val="auto"/>
          <w:kern w:val="0"/>
          <w:sz w:val="32"/>
          <w:szCs w:val="32"/>
        </w:rPr>
        <w:t>评价机构要加强自身能力建设，完善内控机制，</w:t>
      </w:r>
      <w:r>
        <w:rPr>
          <w:rFonts w:hint="eastAsia" w:ascii="FangSong_GB2312" w:hAnsi="宋体" w:eastAsia="FangSong_GB2312" w:cs="宋体"/>
          <w:color w:val="auto"/>
          <w:kern w:val="0"/>
          <w:sz w:val="32"/>
          <w:szCs w:val="32"/>
        </w:rPr>
        <w:t>严格评价过程管理，将评价前备案、评价中抽查、评价结果复核等要求落到实处</w:t>
      </w:r>
      <w:r>
        <w:rPr>
          <w:rFonts w:hint="eastAsia" w:ascii="FangSong_GB2312" w:eastAsia="FangSong_GB2312"/>
          <w:color w:val="auto"/>
          <w:sz w:val="32"/>
          <w:szCs w:val="32"/>
        </w:rPr>
        <w:t>，要注重评价过程资料的留存和整理，形成可追溯的评价过程完整档案。</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（五）提高社评组织题库质量</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各级人力资源社会保障部门要指导社评组织做好题库开发、评估和入库工作。</w:t>
      </w:r>
      <w:r>
        <w:rPr>
          <w:rFonts w:hint="eastAsia" w:ascii="FangSong_GB2312" w:hAnsi="宋体" w:eastAsia="FangSong_GB2312" w:cs="宋体"/>
          <w:color w:val="auto"/>
          <w:kern w:val="0"/>
          <w:sz w:val="32"/>
          <w:szCs w:val="32"/>
        </w:rPr>
        <w:t>社评组织要加强命题专家队伍基础能力建设，按照题库开发技术要求，积极组织开发更新职业技能等级认定题库；注意吸纳高技能人才和生产经验丰富的企业（院校）技术技能人员意见，提升题库与生产过程、工作岗位的契合度；</w:t>
      </w:r>
      <w:r>
        <w:rPr>
          <w:rFonts w:hint="eastAsia" w:ascii="FangSong_GB2312" w:eastAsia="FangSong_GB2312"/>
          <w:color w:val="auto"/>
          <w:sz w:val="32"/>
          <w:szCs w:val="32"/>
        </w:rPr>
        <w:t>题库使用中，如发现国家职业标准更新或试题内容有误等问题，要及时进行修改、补充和完善</w:t>
      </w:r>
      <w:r>
        <w:rPr>
          <w:rFonts w:hint="eastAsia" w:ascii="FangSong_GB2312" w:hAnsi="宋体" w:eastAsia="FangSong_GB2312" w:cs="宋体"/>
          <w:color w:val="auto"/>
          <w:kern w:val="0"/>
          <w:sz w:val="32"/>
          <w:szCs w:val="32"/>
        </w:rPr>
        <w:t>。</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（六）提升评价场所设备建设层次</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各级人力资源社会保障部门要加强对评价机构评价场所和设备建设的指导规范，积极探索社评组织标准化考场建设，通过统一技能评价考场标识、统一考务组织流程、统一考评实施规范、统一资料归档，提升职业技能等级认定工作的制度化、标准化、规范化水平。评价机构要按照国家职业标准和安全作业要求，结合自身实际，不断优化评价场所和设备建设，更好地满足评价需求。</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（七）开展社评组织满意度调查</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各级人力资源社会保障部门要采取问卷调查、信息收集、个别访谈等形式，对社评组织实施评价、提供服务、公示结果等情况，进行服务对象满意度调查。要加强调查数据的收集、梳理和分析，将有关满意度调查情况作为社评组织质量督导、定期评估、备案延期等的重要参考。社评组织要</w:t>
      </w:r>
      <w:r>
        <w:rPr>
          <w:rFonts w:ascii="FangSong_GB2312" w:eastAsia="FangSong_GB2312"/>
          <w:color w:val="auto"/>
          <w:sz w:val="32"/>
          <w:szCs w:val="32"/>
        </w:rPr>
        <w:t>根据</w:t>
      </w:r>
      <w:r>
        <w:rPr>
          <w:rFonts w:hint="eastAsia" w:ascii="FangSong_GB2312" w:eastAsia="FangSong_GB2312"/>
          <w:color w:val="auto"/>
          <w:sz w:val="32"/>
          <w:szCs w:val="32"/>
        </w:rPr>
        <w:t>满意度调查结果，不断加强和改进评价工作，提升服务效果。</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（八）加强评价系统信息化建设</w:t>
      </w:r>
    </w:p>
    <w:p>
      <w:pPr>
        <w:spacing w:line="5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在“山东省职业技能综合评价信息管理平台”增设“特级技师、首席技师评价辅助模块”“专项职业能力考核模块”“社评组织题库管理模块”，强化评价业务信息化办理能力。加强数据应用，运用大数据分析手段进行数据合规性、上报数据退回率分析研判，提升证书数据预警检测水平。规范证书管理和数据上报工作流程，加强对评价机构的业务指导，畅通数据上报渠道，提升证书管理水平。积极推进职业技能等级认定智能化考试，努力实现社评组织线上理论考核全覆盖。</w:t>
      </w:r>
    </w:p>
    <w:p>
      <w:pPr>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三、工作要求</w:t>
      </w:r>
    </w:p>
    <w:p>
      <w:pPr>
        <w:spacing w:line="580" w:lineRule="exact"/>
        <w:ind w:firstLine="640" w:firstLineChars="200"/>
        <w:rPr>
          <w:rFonts w:ascii="FangSong_GB2312" w:hAnsi="微软雅黑" w:eastAsia="FangSong_GB2312" w:cs="宋体"/>
          <w:color w:val="auto"/>
          <w:spacing w:val="-2"/>
          <w:kern w:val="0"/>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bCs/>
          <w:color w:val="auto"/>
          <w:kern w:val="0"/>
          <w:sz w:val="32"/>
          <w:szCs w:val="32"/>
        </w:rPr>
        <w:t>加强组织领导，形成工作合力。</w:t>
      </w:r>
      <w:r>
        <w:rPr>
          <w:rFonts w:hint="eastAsia" w:ascii="FangSong_GB2312" w:hAnsi="微软雅黑" w:eastAsia="FangSong_GB2312" w:cs="宋体"/>
          <w:color w:val="auto"/>
          <w:spacing w:val="-2"/>
          <w:kern w:val="0"/>
          <w:sz w:val="32"/>
          <w:szCs w:val="32"/>
        </w:rPr>
        <w:t>“质量年”活动是做好职业技能培训和评价专项整治“后半篇文章”、推动技能人才评价工作高质量发展的重要举措。各级人力资源社会保障部门要充分认识“质量年”活动的重要意义，强化组织领导，细化任务分工，加强工作统筹，动员用人单位和社评组织广泛参与、积极行动，做到省市联动、内外协同，确保“质量年”活动取得实效。</w:t>
      </w:r>
    </w:p>
    <w:p>
      <w:pPr>
        <w:spacing w:line="580" w:lineRule="exact"/>
        <w:ind w:firstLine="640" w:firstLineChars="200"/>
        <w:rPr>
          <w:rFonts w:ascii="FangSong_GB2312" w:eastAsia="FangSong_GB2312"/>
          <w:color w:val="auto"/>
          <w:sz w:val="32"/>
          <w:szCs w:val="32"/>
        </w:rPr>
      </w:pPr>
      <w:r>
        <w:rPr>
          <w:rFonts w:hint="eastAsia" w:ascii="楷体_GB2312" w:hAnsi="楷体_GB2312" w:eastAsia="楷体_GB2312" w:cs="楷体_GB2312"/>
          <w:color w:val="auto"/>
          <w:sz w:val="32"/>
          <w:szCs w:val="32"/>
        </w:rPr>
        <w:t>（二）创新工作方法，确保常态长效。</w:t>
      </w:r>
      <w:r>
        <w:rPr>
          <w:rFonts w:hint="eastAsia" w:ascii="FangSong_GB2312" w:hAnsi="微软雅黑" w:eastAsia="FangSong_GB2312" w:cs="宋体"/>
          <w:color w:val="auto"/>
          <w:spacing w:val="-2"/>
          <w:kern w:val="0"/>
          <w:sz w:val="32"/>
          <w:szCs w:val="32"/>
        </w:rPr>
        <w:t>各级人力资源社会保障部门要在做好八项重点工作的基础上，结合自身实际，研究提高技能人才评价质量的路径方法，创新开展“自选动作”。要注重总结活动中形成的好经验、好做法，及时固化提升为制度机制，持续提升技能人才评价工作质量。</w:t>
      </w:r>
    </w:p>
    <w:p>
      <w:pPr>
        <w:spacing w:line="580" w:lineRule="exact"/>
        <w:ind w:firstLine="640" w:firstLineChars="200"/>
        <w:rPr>
          <w:rFonts w:ascii="FangSong_GB2312" w:eastAsia="FangSong_GB2312"/>
          <w:color w:val="auto"/>
          <w:sz w:val="32"/>
          <w:szCs w:val="32"/>
        </w:rPr>
      </w:pPr>
      <w:r>
        <w:rPr>
          <w:rFonts w:hint="eastAsia" w:ascii="楷体_GB2312" w:hAnsi="楷体_GB2312" w:eastAsia="楷体_GB2312" w:cs="楷体_GB2312"/>
          <w:color w:val="auto"/>
          <w:sz w:val="32"/>
          <w:szCs w:val="32"/>
        </w:rPr>
        <w:t>（三）强化宣传引领，营造良好氛围。</w:t>
      </w:r>
      <w:r>
        <w:rPr>
          <w:rFonts w:ascii="FangSong_GB2312" w:eastAsia="FangSong_GB2312"/>
          <w:color w:val="auto"/>
          <w:sz w:val="32"/>
          <w:szCs w:val="32"/>
        </w:rPr>
        <w:t>各</w:t>
      </w:r>
      <w:r>
        <w:rPr>
          <w:rFonts w:hint="eastAsia" w:ascii="FangSong_GB2312" w:eastAsia="FangSong_GB2312"/>
          <w:color w:val="auto"/>
          <w:sz w:val="32"/>
          <w:szCs w:val="32"/>
        </w:rPr>
        <w:t>级人力资源社会保障部门要加强工作宣传，全方位、多角度、立体化宣传“质量年”活动，营造规范管理、注重质量的评价工作氛围。要注重</w:t>
      </w:r>
      <w:r>
        <w:rPr>
          <w:rFonts w:ascii="FangSong_GB2312" w:eastAsia="FangSong_GB2312"/>
          <w:color w:val="auto"/>
          <w:sz w:val="32"/>
          <w:szCs w:val="32"/>
        </w:rPr>
        <w:t>培育</w:t>
      </w:r>
      <w:r>
        <w:rPr>
          <w:rFonts w:hint="eastAsia" w:ascii="FangSong_GB2312" w:eastAsia="FangSong_GB2312"/>
          <w:color w:val="auto"/>
          <w:sz w:val="32"/>
          <w:szCs w:val="32"/>
        </w:rPr>
        <w:t>评价</w:t>
      </w:r>
      <w:r>
        <w:rPr>
          <w:rFonts w:ascii="FangSong_GB2312" w:eastAsia="FangSong_GB2312"/>
          <w:color w:val="auto"/>
          <w:sz w:val="32"/>
          <w:szCs w:val="32"/>
        </w:rPr>
        <w:t>质量高、服务效益强的</w:t>
      </w:r>
      <w:r>
        <w:rPr>
          <w:rFonts w:hint="eastAsia" w:ascii="FangSong_GB2312" w:eastAsia="FangSong_GB2312"/>
          <w:color w:val="auto"/>
          <w:sz w:val="32"/>
          <w:szCs w:val="32"/>
        </w:rPr>
        <w:t>“</w:t>
      </w:r>
      <w:r>
        <w:rPr>
          <w:rFonts w:ascii="FangSong_GB2312" w:eastAsia="FangSong_GB2312"/>
          <w:color w:val="auto"/>
          <w:sz w:val="32"/>
          <w:szCs w:val="32"/>
        </w:rPr>
        <w:t>领航型</w:t>
      </w:r>
      <w:r>
        <w:rPr>
          <w:rFonts w:hint="eastAsia" w:ascii="FangSong_GB2312" w:eastAsia="FangSong_GB2312"/>
          <w:color w:val="auto"/>
          <w:sz w:val="32"/>
          <w:szCs w:val="32"/>
        </w:rPr>
        <w:t>”评价机构，发挥品牌引领带动和示范辐射作用，</w:t>
      </w:r>
      <w:r>
        <w:rPr>
          <w:rFonts w:ascii="FangSong_GB2312" w:eastAsia="FangSong_GB2312"/>
          <w:color w:val="auto"/>
          <w:sz w:val="32"/>
          <w:szCs w:val="32"/>
        </w:rPr>
        <w:t>以点带面推动</w:t>
      </w:r>
      <w:r>
        <w:rPr>
          <w:rFonts w:hint="eastAsia" w:ascii="FangSong_GB2312" w:eastAsia="FangSong_GB2312"/>
          <w:color w:val="auto"/>
          <w:sz w:val="32"/>
          <w:szCs w:val="32"/>
        </w:rPr>
        <w:t>技能人才评价</w:t>
      </w:r>
      <w:r>
        <w:rPr>
          <w:rFonts w:ascii="FangSong_GB2312" w:eastAsia="FangSong_GB2312"/>
          <w:color w:val="auto"/>
          <w:sz w:val="32"/>
          <w:szCs w:val="32"/>
        </w:rPr>
        <w:t>工作高质量发展。</w:t>
      </w:r>
    </w:p>
    <w:p>
      <w:pPr>
        <w:spacing w:line="580" w:lineRule="exact"/>
        <w:ind w:firstLine="640" w:firstLineChars="200"/>
        <w:rPr>
          <w:rFonts w:ascii="FangSong_GB2312" w:eastAsia="FangSong_GB2312"/>
          <w:color w:val="auto"/>
          <w:sz w:val="32"/>
          <w:szCs w:val="32"/>
        </w:rPr>
      </w:pPr>
    </w:p>
    <w:p>
      <w:pPr>
        <w:spacing w:line="580" w:lineRule="exact"/>
        <w:rPr>
          <w:rFonts w:hint="eastAsia" w:ascii="FangSong_GB2312" w:eastAsia="FangSong_GB2312"/>
          <w:color w:val="auto"/>
          <w:sz w:val="32"/>
          <w:szCs w:val="32"/>
        </w:rPr>
      </w:pPr>
    </w:p>
    <w:p>
      <w:pPr>
        <w:spacing w:line="580" w:lineRule="exact"/>
        <w:rPr>
          <w:rFonts w:hint="eastAsia" w:ascii="FangSong_GB2312" w:eastAsia="FangSong_GB2312"/>
          <w:color w:val="auto"/>
          <w:sz w:val="32"/>
          <w:szCs w:val="32"/>
        </w:rPr>
      </w:pPr>
    </w:p>
    <w:p>
      <w:pPr>
        <w:spacing w:line="580" w:lineRule="exact"/>
        <w:rPr>
          <w:rFonts w:hint="eastAsia" w:ascii="FangSong_GB2312" w:eastAsia="FangSong_GB2312"/>
          <w:color w:val="auto"/>
          <w:sz w:val="32"/>
          <w:szCs w:val="32"/>
        </w:rPr>
      </w:pPr>
    </w:p>
    <w:p>
      <w:pPr>
        <w:spacing w:line="580" w:lineRule="exact"/>
        <w:rPr>
          <w:rFonts w:hint="eastAsia" w:ascii="FangSong_GB2312" w:eastAsia="FangSong_GB2312"/>
          <w:color w:val="auto"/>
          <w:sz w:val="32"/>
          <w:szCs w:val="32"/>
        </w:rPr>
      </w:pPr>
    </w:p>
    <w:p>
      <w:pPr>
        <w:spacing w:line="580" w:lineRule="exact"/>
        <w:rPr>
          <w:rFonts w:ascii="方正小标宋简体" w:hAnsi="黑体" w:eastAsia="方正小标宋简体"/>
          <w:color w:val="auto"/>
          <w:sz w:val="36"/>
          <w:szCs w:val="36"/>
        </w:rPr>
      </w:pPr>
    </w:p>
    <w:bookmarkEnd w:id="0"/>
    <w:sectPr>
      <w:footerReference r:id="rId3" w:type="default"/>
      <w:pgSz w:w="11906" w:h="16838"/>
      <w:pgMar w:top="2098" w:right="1531" w:bottom="1814" w:left="1531" w:header="851" w:footer="1587" w:gutter="0"/>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宋体"/>
    <w:panose1 w:val="02010609030101010101"/>
    <w:charset w:val="86"/>
    <w:family w:val="modern"/>
    <w:pitch w:val="default"/>
    <w:sig w:usb0="00000000" w:usb1="00000000" w:usb2="00000000" w:usb3="00000000" w:csb0="00040000" w:csb1="00000000"/>
  </w:font>
  <w:font w:name="汉仪大黑简">
    <w:panose1 w:val="02010609000101010101"/>
    <w:charset w:val="86"/>
    <w:family w:val="auto"/>
    <w:pitch w:val="default"/>
    <w:sig w:usb0="00000001" w:usb1="080E0800" w:usb2="00000002" w:usb3="00000000" w:csb0="00040000" w:csb1="00000000"/>
  </w:font>
  <w:font w:name="Arial">
    <w:panose1 w:val="020B0604020202020204"/>
    <w:charset w:val="00"/>
    <w:family w:val="auto"/>
    <w:pitch w:val="default"/>
    <w:sig w:usb0="00000287" w:usb1="00000000" w:usb2="00000000" w:usb3="00000000" w:csb0="4000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261775076"/>
                </w:sdtPr>
                <w:sdtEndPr>
                  <w:rPr>
                    <w:rFonts w:hint="eastAsia" w:ascii="宋体" w:hAnsi="宋体" w:eastAsia="宋体" w:cs="宋体"/>
                    <w:sz w:val="28"/>
                    <w:szCs w:val="28"/>
                  </w:rPr>
                </w:sdtEndPr>
                <w:sdtContent>
                  <w:p>
                    <w:pPr>
                      <w:pStyle w:val="5"/>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sdtContent>
              </w:sd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4"/>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70A8A"/>
    <w:rsid w:val="00005C34"/>
    <w:rsid w:val="00014502"/>
    <w:rsid w:val="00015680"/>
    <w:rsid w:val="00022260"/>
    <w:rsid w:val="00022E6F"/>
    <w:rsid w:val="00025BC3"/>
    <w:rsid w:val="00027364"/>
    <w:rsid w:val="00030AFE"/>
    <w:rsid w:val="00031494"/>
    <w:rsid w:val="00036E52"/>
    <w:rsid w:val="00040213"/>
    <w:rsid w:val="0004320E"/>
    <w:rsid w:val="000655C0"/>
    <w:rsid w:val="00075B2A"/>
    <w:rsid w:val="000761C0"/>
    <w:rsid w:val="00077E72"/>
    <w:rsid w:val="00090B5D"/>
    <w:rsid w:val="000A3C52"/>
    <w:rsid w:val="000B61B9"/>
    <w:rsid w:val="000C1BE8"/>
    <w:rsid w:val="000C2D7E"/>
    <w:rsid w:val="000C7FC6"/>
    <w:rsid w:val="000D6790"/>
    <w:rsid w:val="000E5F12"/>
    <w:rsid w:val="000F4B9F"/>
    <w:rsid w:val="0010055A"/>
    <w:rsid w:val="00110494"/>
    <w:rsid w:val="0011123D"/>
    <w:rsid w:val="00122876"/>
    <w:rsid w:val="00124A97"/>
    <w:rsid w:val="0012554C"/>
    <w:rsid w:val="0013103A"/>
    <w:rsid w:val="0017098B"/>
    <w:rsid w:val="00174A2A"/>
    <w:rsid w:val="00174FB5"/>
    <w:rsid w:val="0019251C"/>
    <w:rsid w:val="001A7243"/>
    <w:rsid w:val="001B0B45"/>
    <w:rsid w:val="001B2469"/>
    <w:rsid w:val="001B5A8F"/>
    <w:rsid w:val="001B75EF"/>
    <w:rsid w:val="001C24BD"/>
    <w:rsid w:val="001C700C"/>
    <w:rsid w:val="001D3140"/>
    <w:rsid w:val="001D5F0D"/>
    <w:rsid w:val="001D66B5"/>
    <w:rsid w:val="001D6F1B"/>
    <w:rsid w:val="0021234F"/>
    <w:rsid w:val="0021679C"/>
    <w:rsid w:val="002249FE"/>
    <w:rsid w:val="0022504E"/>
    <w:rsid w:val="00227960"/>
    <w:rsid w:val="002301B8"/>
    <w:rsid w:val="00232E26"/>
    <w:rsid w:val="002334CA"/>
    <w:rsid w:val="002457CE"/>
    <w:rsid w:val="0024797E"/>
    <w:rsid w:val="00253E57"/>
    <w:rsid w:val="0025723D"/>
    <w:rsid w:val="002624FD"/>
    <w:rsid w:val="00284668"/>
    <w:rsid w:val="00294F59"/>
    <w:rsid w:val="00296DA3"/>
    <w:rsid w:val="002A2DC9"/>
    <w:rsid w:val="002A2FAD"/>
    <w:rsid w:val="002A6BC2"/>
    <w:rsid w:val="002C3FA2"/>
    <w:rsid w:val="002C7487"/>
    <w:rsid w:val="002D7058"/>
    <w:rsid w:val="002F0D50"/>
    <w:rsid w:val="00300521"/>
    <w:rsid w:val="00303B1B"/>
    <w:rsid w:val="00311FFE"/>
    <w:rsid w:val="00313183"/>
    <w:rsid w:val="00320379"/>
    <w:rsid w:val="00320729"/>
    <w:rsid w:val="00324DED"/>
    <w:rsid w:val="00325696"/>
    <w:rsid w:val="00325EBF"/>
    <w:rsid w:val="003402C3"/>
    <w:rsid w:val="00343A83"/>
    <w:rsid w:val="00350702"/>
    <w:rsid w:val="00353A64"/>
    <w:rsid w:val="00353B46"/>
    <w:rsid w:val="00355589"/>
    <w:rsid w:val="00362745"/>
    <w:rsid w:val="00362F0F"/>
    <w:rsid w:val="00366309"/>
    <w:rsid w:val="00370A8A"/>
    <w:rsid w:val="00374FF7"/>
    <w:rsid w:val="003768CC"/>
    <w:rsid w:val="00387C2A"/>
    <w:rsid w:val="00391695"/>
    <w:rsid w:val="003A12EF"/>
    <w:rsid w:val="003A17F5"/>
    <w:rsid w:val="003B51E4"/>
    <w:rsid w:val="003B7874"/>
    <w:rsid w:val="003C1AD1"/>
    <w:rsid w:val="003C3F93"/>
    <w:rsid w:val="003C4B68"/>
    <w:rsid w:val="003C586D"/>
    <w:rsid w:val="003C6000"/>
    <w:rsid w:val="003C707E"/>
    <w:rsid w:val="003E2B85"/>
    <w:rsid w:val="003F551E"/>
    <w:rsid w:val="00401C80"/>
    <w:rsid w:val="004031C4"/>
    <w:rsid w:val="00421EC5"/>
    <w:rsid w:val="004441EE"/>
    <w:rsid w:val="004465FC"/>
    <w:rsid w:val="00452304"/>
    <w:rsid w:val="00462581"/>
    <w:rsid w:val="0046723D"/>
    <w:rsid w:val="004738B5"/>
    <w:rsid w:val="004804CD"/>
    <w:rsid w:val="0049222B"/>
    <w:rsid w:val="004A17A1"/>
    <w:rsid w:val="004A6D56"/>
    <w:rsid w:val="004B5C2F"/>
    <w:rsid w:val="004E16E1"/>
    <w:rsid w:val="004E4851"/>
    <w:rsid w:val="004F7F56"/>
    <w:rsid w:val="005062FB"/>
    <w:rsid w:val="005107B3"/>
    <w:rsid w:val="00523659"/>
    <w:rsid w:val="0054169C"/>
    <w:rsid w:val="00550B79"/>
    <w:rsid w:val="005520A7"/>
    <w:rsid w:val="0056520E"/>
    <w:rsid w:val="00576BD7"/>
    <w:rsid w:val="00577067"/>
    <w:rsid w:val="00580BA6"/>
    <w:rsid w:val="00586C1A"/>
    <w:rsid w:val="00590936"/>
    <w:rsid w:val="005A0CFF"/>
    <w:rsid w:val="005A4EDA"/>
    <w:rsid w:val="005B3941"/>
    <w:rsid w:val="005D3EC5"/>
    <w:rsid w:val="005E0E5A"/>
    <w:rsid w:val="005E1965"/>
    <w:rsid w:val="005F086B"/>
    <w:rsid w:val="005F4982"/>
    <w:rsid w:val="00603608"/>
    <w:rsid w:val="00611B7E"/>
    <w:rsid w:val="0061365C"/>
    <w:rsid w:val="006265CA"/>
    <w:rsid w:val="00633673"/>
    <w:rsid w:val="00634A18"/>
    <w:rsid w:val="006350E1"/>
    <w:rsid w:val="006419EF"/>
    <w:rsid w:val="00653299"/>
    <w:rsid w:val="00655FC6"/>
    <w:rsid w:val="00660158"/>
    <w:rsid w:val="00670DD6"/>
    <w:rsid w:val="0067145E"/>
    <w:rsid w:val="00675442"/>
    <w:rsid w:val="00676D62"/>
    <w:rsid w:val="006775F0"/>
    <w:rsid w:val="0068222D"/>
    <w:rsid w:val="00683659"/>
    <w:rsid w:val="006872CB"/>
    <w:rsid w:val="00687DDE"/>
    <w:rsid w:val="0069260D"/>
    <w:rsid w:val="0069741C"/>
    <w:rsid w:val="006B14E7"/>
    <w:rsid w:val="006B4273"/>
    <w:rsid w:val="006B5CC1"/>
    <w:rsid w:val="006C0A20"/>
    <w:rsid w:val="006C396A"/>
    <w:rsid w:val="006D5897"/>
    <w:rsid w:val="006E104B"/>
    <w:rsid w:val="00703381"/>
    <w:rsid w:val="007063F1"/>
    <w:rsid w:val="007209CB"/>
    <w:rsid w:val="007265F8"/>
    <w:rsid w:val="00730466"/>
    <w:rsid w:val="0073056F"/>
    <w:rsid w:val="00744254"/>
    <w:rsid w:val="007475D1"/>
    <w:rsid w:val="00751DAD"/>
    <w:rsid w:val="0075556D"/>
    <w:rsid w:val="007647E5"/>
    <w:rsid w:val="00765E39"/>
    <w:rsid w:val="00773EF9"/>
    <w:rsid w:val="007750AB"/>
    <w:rsid w:val="007764B2"/>
    <w:rsid w:val="007869A4"/>
    <w:rsid w:val="007869AF"/>
    <w:rsid w:val="007955EA"/>
    <w:rsid w:val="007B5D20"/>
    <w:rsid w:val="007B7A84"/>
    <w:rsid w:val="007C0434"/>
    <w:rsid w:val="007C3745"/>
    <w:rsid w:val="007C3F69"/>
    <w:rsid w:val="007D2677"/>
    <w:rsid w:val="007E126D"/>
    <w:rsid w:val="007E3EE5"/>
    <w:rsid w:val="007F5676"/>
    <w:rsid w:val="007F7A71"/>
    <w:rsid w:val="0081312C"/>
    <w:rsid w:val="00826846"/>
    <w:rsid w:val="008327DC"/>
    <w:rsid w:val="00837A3B"/>
    <w:rsid w:val="0084444B"/>
    <w:rsid w:val="00850FF8"/>
    <w:rsid w:val="00856613"/>
    <w:rsid w:val="00860D82"/>
    <w:rsid w:val="008632FD"/>
    <w:rsid w:val="008715BB"/>
    <w:rsid w:val="00882410"/>
    <w:rsid w:val="008868BD"/>
    <w:rsid w:val="00890E6F"/>
    <w:rsid w:val="008A0F21"/>
    <w:rsid w:val="008A320A"/>
    <w:rsid w:val="008C4B58"/>
    <w:rsid w:val="008D40F4"/>
    <w:rsid w:val="008D41AA"/>
    <w:rsid w:val="008E138A"/>
    <w:rsid w:val="008F0A43"/>
    <w:rsid w:val="008F69A4"/>
    <w:rsid w:val="00900107"/>
    <w:rsid w:val="00903899"/>
    <w:rsid w:val="009043D7"/>
    <w:rsid w:val="00904E98"/>
    <w:rsid w:val="009139F5"/>
    <w:rsid w:val="00934F28"/>
    <w:rsid w:val="0093630E"/>
    <w:rsid w:val="00937C9C"/>
    <w:rsid w:val="00940DDB"/>
    <w:rsid w:val="00942688"/>
    <w:rsid w:val="00991943"/>
    <w:rsid w:val="00993250"/>
    <w:rsid w:val="009951DB"/>
    <w:rsid w:val="009A2860"/>
    <w:rsid w:val="009A3DC0"/>
    <w:rsid w:val="009A458A"/>
    <w:rsid w:val="009B50F5"/>
    <w:rsid w:val="009B73B5"/>
    <w:rsid w:val="009C17C0"/>
    <w:rsid w:val="009D2ECA"/>
    <w:rsid w:val="009E0AEE"/>
    <w:rsid w:val="009E7E81"/>
    <w:rsid w:val="009F2AFD"/>
    <w:rsid w:val="00A02730"/>
    <w:rsid w:val="00A0334D"/>
    <w:rsid w:val="00A168A3"/>
    <w:rsid w:val="00A23960"/>
    <w:rsid w:val="00A30784"/>
    <w:rsid w:val="00A34144"/>
    <w:rsid w:val="00A367E3"/>
    <w:rsid w:val="00A37E4E"/>
    <w:rsid w:val="00A51930"/>
    <w:rsid w:val="00A56528"/>
    <w:rsid w:val="00A614FF"/>
    <w:rsid w:val="00A72A10"/>
    <w:rsid w:val="00A83752"/>
    <w:rsid w:val="00A90315"/>
    <w:rsid w:val="00A913D1"/>
    <w:rsid w:val="00AA6A8A"/>
    <w:rsid w:val="00AB7ABC"/>
    <w:rsid w:val="00AD14CE"/>
    <w:rsid w:val="00AD25DB"/>
    <w:rsid w:val="00AE28DD"/>
    <w:rsid w:val="00AE2ED5"/>
    <w:rsid w:val="00AF47C3"/>
    <w:rsid w:val="00AF5E10"/>
    <w:rsid w:val="00B0000E"/>
    <w:rsid w:val="00B15780"/>
    <w:rsid w:val="00B173A5"/>
    <w:rsid w:val="00B21918"/>
    <w:rsid w:val="00B227DC"/>
    <w:rsid w:val="00B32BB2"/>
    <w:rsid w:val="00B55638"/>
    <w:rsid w:val="00B55865"/>
    <w:rsid w:val="00B56767"/>
    <w:rsid w:val="00B577B0"/>
    <w:rsid w:val="00B6108D"/>
    <w:rsid w:val="00B67CD5"/>
    <w:rsid w:val="00B70551"/>
    <w:rsid w:val="00B75D57"/>
    <w:rsid w:val="00B84701"/>
    <w:rsid w:val="00BB517E"/>
    <w:rsid w:val="00BC1F9D"/>
    <w:rsid w:val="00BC4119"/>
    <w:rsid w:val="00BD3A3D"/>
    <w:rsid w:val="00BD4EB1"/>
    <w:rsid w:val="00BD785E"/>
    <w:rsid w:val="00BE0C6B"/>
    <w:rsid w:val="00BE26D5"/>
    <w:rsid w:val="00BE67C0"/>
    <w:rsid w:val="00BF0B3D"/>
    <w:rsid w:val="00BF794A"/>
    <w:rsid w:val="00C05131"/>
    <w:rsid w:val="00C1426A"/>
    <w:rsid w:val="00C15F7C"/>
    <w:rsid w:val="00C23095"/>
    <w:rsid w:val="00C25420"/>
    <w:rsid w:val="00C261A8"/>
    <w:rsid w:val="00C30DE1"/>
    <w:rsid w:val="00C34372"/>
    <w:rsid w:val="00C42E56"/>
    <w:rsid w:val="00C44505"/>
    <w:rsid w:val="00C4767A"/>
    <w:rsid w:val="00C5120B"/>
    <w:rsid w:val="00C53F5A"/>
    <w:rsid w:val="00C63732"/>
    <w:rsid w:val="00C729F9"/>
    <w:rsid w:val="00CA2E60"/>
    <w:rsid w:val="00CA3182"/>
    <w:rsid w:val="00CA7EC0"/>
    <w:rsid w:val="00CB3627"/>
    <w:rsid w:val="00CB3C94"/>
    <w:rsid w:val="00CC5836"/>
    <w:rsid w:val="00CC6483"/>
    <w:rsid w:val="00CD5556"/>
    <w:rsid w:val="00CF3571"/>
    <w:rsid w:val="00D07148"/>
    <w:rsid w:val="00D11FB0"/>
    <w:rsid w:val="00D249D1"/>
    <w:rsid w:val="00D25BD1"/>
    <w:rsid w:val="00D310B0"/>
    <w:rsid w:val="00D34041"/>
    <w:rsid w:val="00D369BB"/>
    <w:rsid w:val="00D42730"/>
    <w:rsid w:val="00D6075A"/>
    <w:rsid w:val="00D66976"/>
    <w:rsid w:val="00D81706"/>
    <w:rsid w:val="00D81F09"/>
    <w:rsid w:val="00DA58E0"/>
    <w:rsid w:val="00DA6C27"/>
    <w:rsid w:val="00DC3533"/>
    <w:rsid w:val="00DD600D"/>
    <w:rsid w:val="00DE09F9"/>
    <w:rsid w:val="00DE7A09"/>
    <w:rsid w:val="00E00722"/>
    <w:rsid w:val="00E00EB9"/>
    <w:rsid w:val="00E042B2"/>
    <w:rsid w:val="00E10BF4"/>
    <w:rsid w:val="00E172D1"/>
    <w:rsid w:val="00E17910"/>
    <w:rsid w:val="00E24EF7"/>
    <w:rsid w:val="00E2791D"/>
    <w:rsid w:val="00E51EC6"/>
    <w:rsid w:val="00E54F3D"/>
    <w:rsid w:val="00E651AF"/>
    <w:rsid w:val="00E74439"/>
    <w:rsid w:val="00E763B7"/>
    <w:rsid w:val="00E81132"/>
    <w:rsid w:val="00E82AB7"/>
    <w:rsid w:val="00E8340D"/>
    <w:rsid w:val="00E8697E"/>
    <w:rsid w:val="00E941A1"/>
    <w:rsid w:val="00E94458"/>
    <w:rsid w:val="00EA2EF0"/>
    <w:rsid w:val="00EA42AD"/>
    <w:rsid w:val="00EA5AC9"/>
    <w:rsid w:val="00EA6712"/>
    <w:rsid w:val="00EA72BE"/>
    <w:rsid w:val="00EB49C1"/>
    <w:rsid w:val="00EC0FA7"/>
    <w:rsid w:val="00EC3B4E"/>
    <w:rsid w:val="00ED715F"/>
    <w:rsid w:val="00ED75C7"/>
    <w:rsid w:val="00EE379C"/>
    <w:rsid w:val="00EF0292"/>
    <w:rsid w:val="00F01DE7"/>
    <w:rsid w:val="00F06207"/>
    <w:rsid w:val="00F15AA4"/>
    <w:rsid w:val="00F2573F"/>
    <w:rsid w:val="00F37519"/>
    <w:rsid w:val="00F37D1E"/>
    <w:rsid w:val="00F466DA"/>
    <w:rsid w:val="00F50C1E"/>
    <w:rsid w:val="00F63163"/>
    <w:rsid w:val="00F634EF"/>
    <w:rsid w:val="00F66168"/>
    <w:rsid w:val="00F75A48"/>
    <w:rsid w:val="00F77A71"/>
    <w:rsid w:val="00F87E56"/>
    <w:rsid w:val="00F926EC"/>
    <w:rsid w:val="00F927CC"/>
    <w:rsid w:val="00F92E5E"/>
    <w:rsid w:val="00FA059D"/>
    <w:rsid w:val="00FA1181"/>
    <w:rsid w:val="00FA4D0E"/>
    <w:rsid w:val="00FA618C"/>
    <w:rsid w:val="00FB704D"/>
    <w:rsid w:val="00FC2236"/>
    <w:rsid w:val="00FC233E"/>
    <w:rsid w:val="00FC415D"/>
    <w:rsid w:val="00FC52C1"/>
    <w:rsid w:val="00FD0FC4"/>
    <w:rsid w:val="22D70D05"/>
    <w:rsid w:val="28662835"/>
    <w:rsid w:val="2D1C28B8"/>
    <w:rsid w:val="30B602DE"/>
    <w:rsid w:val="33281C99"/>
    <w:rsid w:val="430F2715"/>
    <w:rsid w:val="4C7A1FDA"/>
    <w:rsid w:val="55726BC4"/>
    <w:rsid w:val="591E5579"/>
    <w:rsid w:val="60C05121"/>
    <w:rsid w:val="670156B7"/>
    <w:rsid w:val="67FDDD8B"/>
    <w:rsid w:val="6D267ACA"/>
    <w:rsid w:val="72FFB2F2"/>
    <w:rsid w:val="7D5A5EE1"/>
    <w:rsid w:val="7FCE879D"/>
    <w:rsid w:val="BCEFBDF0"/>
    <w:rsid w:val="F67D3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24"/>
    <w:unhideWhenUsed/>
    <w:qFormat/>
    <w:uiPriority w:val="99"/>
    <w:pPr>
      <w:jc w:val="left"/>
    </w:pPr>
  </w:style>
  <w:style w:type="paragraph" w:styleId="3">
    <w:name w:val="Body Text"/>
    <w:basedOn w:val="1"/>
    <w:link w:val="17"/>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Quote"/>
    <w:basedOn w:val="1"/>
    <w:next w:val="1"/>
    <w:link w:val="12"/>
    <w:qFormat/>
    <w:uiPriority w:val="29"/>
    <w:rPr>
      <w:i/>
      <w:iCs/>
      <w:color w:val="000000" w:themeColor="text1"/>
    </w:rPr>
  </w:style>
  <w:style w:type="character" w:customStyle="1" w:styleId="12">
    <w:name w:val="引用 Char"/>
    <w:basedOn w:val="8"/>
    <w:link w:val="11"/>
    <w:qFormat/>
    <w:uiPriority w:val="29"/>
    <w:rPr>
      <w:i/>
      <w:iCs/>
      <w:color w:val="000000" w:themeColor="text1"/>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批注框文本 Char"/>
    <w:basedOn w:val="8"/>
    <w:link w:val="4"/>
    <w:semiHidden/>
    <w:qFormat/>
    <w:uiPriority w:val="99"/>
    <w:rPr>
      <w:sz w:val="18"/>
      <w:szCs w:val="18"/>
    </w:rPr>
  </w:style>
  <w:style w:type="table" w:customStyle="1" w:styleId="16">
    <w:name w:val="Table Normal"/>
    <w:unhideWhenUsed/>
    <w:qFormat/>
    <w:uiPriority w:val="0"/>
    <w:rPr>
      <w:rFonts w:ascii="Arial" w:hAnsi="Arial" w:cs="Arial" w:eastAsiaTheme="minorEastAsia"/>
      <w:snapToGrid w:val="0"/>
      <w:color w:val="000000"/>
      <w:sz w:val="21"/>
      <w:szCs w:val="21"/>
      <w:lang w:eastAsia="en-US"/>
    </w:rPr>
    <w:tblPr>
      <w:tblLayout w:type="fixed"/>
      <w:tblCellMar>
        <w:top w:w="0" w:type="dxa"/>
        <w:left w:w="0" w:type="dxa"/>
        <w:bottom w:w="0" w:type="dxa"/>
        <w:right w:w="0" w:type="dxa"/>
      </w:tblCellMar>
    </w:tblPr>
  </w:style>
  <w:style w:type="character" w:customStyle="1" w:styleId="17">
    <w:name w:val="正文文本 Char"/>
    <w:basedOn w:val="8"/>
    <w:link w:val="3"/>
    <w:semiHidden/>
    <w:qFormat/>
    <w:uiPriority w:val="0"/>
    <w:rPr>
      <w:rFonts w:ascii="仿宋" w:hAnsi="仿宋" w:eastAsia="仿宋" w:cs="仿宋"/>
      <w:snapToGrid w:val="0"/>
      <w:color w:val="000000"/>
      <w:kern w:val="0"/>
      <w:sz w:val="31"/>
      <w:szCs w:val="31"/>
      <w:lang w:eastAsia="en-US"/>
    </w:rPr>
  </w:style>
  <w:style w:type="paragraph" w:customStyle="1" w:styleId="18">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lang w:eastAsia="en-US"/>
    </w:rPr>
  </w:style>
  <w:style w:type="character" w:customStyle="1" w:styleId="19">
    <w:name w:val="label-item"/>
    <w:basedOn w:val="8"/>
    <w:qFormat/>
    <w:uiPriority w:val="0"/>
  </w:style>
  <w:style w:type="character" w:customStyle="1" w:styleId="20">
    <w:name w:val="ant-select-selection-placeholder"/>
    <w:basedOn w:val="8"/>
    <w:qFormat/>
    <w:uiPriority w:val="0"/>
  </w:style>
  <w:style w:type="character" w:customStyle="1" w:styleId="21">
    <w:name w:val="ant-radio"/>
    <w:basedOn w:val="8"/>
    <w:qFormat/>
    <w:uiPriority w:val="0"/>
  </w:style>
  <w:style w:type="character" w:customStyle="1" w:styleId="22">
    <w:name w:val="other-choice-option-name"/>
    <w:basedOn w:val="8"/>
    <w:qFormat/>
    <w:uiPriority w:val="0"/>
  </w:style>
  <w:style w:type="character" w:customStyle="1" w:styleId="23">
    <w:name w:val="ant-checkbox"/>
    <w:basedOn w:val="8"/>
    <w:qFormat/>
    <w:uiPriority w:val="0"/>
  </w:style>
  <w:style w:type="character" w:customStyle="1" w:styleId="24">
    <w:name w:val="批注文字 Char"/>
    <w:basedOn w:val="8"/>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186D9-CDAF-437F-A540-90B212D0EC91}">
  <ds:schemaRefs/>
</ds:datastoreItem>
</file>

<file path=docProps/app.xml><?xml version="1.0" encoding="utf-8"?>
<Properties xmlns="http://schemas.openxmlformats.org/officeDocument/2006/extended-properties" xmlns:vt="http://schemas.openxmlformats.org/officeDocument/2006/docPropsVTypes">
  <Pages>7</Pages>
  <Words>436</Words>
  <Characters>2487</Characters>
  <Lines>20</Lines>
  <Paragraphs>5</Paragraphs>
  <ScaleCrop>false</ScaleCrop>
  <LinksUpToDate>false</LinksUpToDate>
  <CharactersWithSpaces>2918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2024-04-23T07:31:00Z</dcterms:created>
  <dc:creator>李晓凌</dc:creator>
  <cp:lastModifiedBy>LTGX04</cp:lastModifiedBy>
  <cp:lastPrinted>2024-04-23T02:22:00Z</cp:lastPrinted>
  <dcterms:modified xsi:type="dcterms:W3CDTF">2024-04-26T07:13:12Z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